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26828" w14:textId="77777777" w:rsidR="00B21FFA" w:rsidRDefault="00C81E30" w:rsidP="007D1EA1">
      <w:pPr>
        <w:ind w:left="7100" w:hanging="7100"/>
      </w:pPr>
      <w:r>
        <w:pict w14:anchorId="49FAD8EF">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186ABDE" w14:textId="77777777" w:rsidTr="00DE264A">
        <w:trPr>
          <w:trHeight w:val="852"/>
          <w:jc w:val="center"/>
        </w:trPr>
        <w:tc>
          <w:tcPr>
            <w:tcW w:w="6946" w:type="dxa"/>
            <w:vMerge w:val="restart"/>
            <w:tcBorders>
              <w:right w:val="single" w:sz="4" w:space="0" w:color="auto"/>
            </w:tcBorders>
          </w:tcPr>
          <w:p w14:paraId="513274D6" w14:textId="77777777" w:rsidR="00B21FFA" w:rsidRDefault="00EF0561">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7611E9E" wp14:editId="23E06C6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 CHEMICAL ENGINEERING </w:t>
            </w:r>
            <w:r w:rsidRPr="00B57B36">
              <w:rPr>
                <w:rFonts w:cs="Arial"/>
                <w:b/>
                <w:bCs/>
                <w:i/>
                <w:iCs/>
                <w:color w:val="666666"/>
                <w:sz w:val="24"/>
                <w:szCs w:val="24"/>
                <w:lang w:eastAsia="it-IT"/>
              </w:rPr>
              <w:t xml:space="preserve">TRANSACTIONS </w:t>
            </w:r>
            <w:r w:rsidRPr="00B57B36">
              <w:rPr>
                <w:rFonts w:cs="Arial"/>
                <w:b/>
                <w:bCs/>
                <w:i/>
                <w:iCs/>
                <w:color w:val="000066"/>
                <w:sz w:val="27"/>
                <w:szCs w:val="27"/>
                <w:lang w:eastAsia="it-IT"/>
              </w:rPr>
              <w:br/>
            </w:r>
          </w:p>
          <w:p w14:paraId="17B91953" w14:textId="77777777" w:rsidR="00B21FFA" w:rsidRDefault="00EF056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B57E6F">
              <w:rPr>
                <w:rFonts w:cs="Arial"/>
                <w:b/>
                <w:bCs/>
                <w:i/>
                <w:iCs/>
                <w:color w:val="000066"/>
                <w:sz w:val="22"/>
                <w:szCs w:val="22"/>
                <w:lang w:eastAsia="it-IT"/>
              </w:rPr>
              <w:t>91</w:t>
            </w:r>
            <w:r w:rsidR="007B48F9">
              <w:rPr>
                <w:rFonts w:cs="Arial"/>
                <w:b/>
                <w:bCs/>
                <w:i/>
                <w:iCs/>
                <w:color w:val="000066"/>
                <w:sz w:val="22"/>
                <w:szCs w:val="22"/>
                <w:lang w:eastAsia="it-IT"/>
              </w:rPr>
              <w:t xml:space="preserve">, </w:t>
            </w:r>
            <w:r w:rsidR="00FA5F5F">
              <w:rPr>
                <w:rFonts w:cs="Arial"/>
                <w:b/>
                <w:bCs/>
                <w:i/>
                <w:iCs/>
                <w:color w:val="000066"/>
                <w:sz w:val="22"/>
                <w:szCs w:val="22"/>
                <w:lang w:eastAsia="it-IT"/>
              </w:rPr>
              <w:t>2022</w:t>
            </w:r>
          </w:p>
        </w:tc>
        <w:tc>
          <w:tcPr>
            <w:tcW w:w="1843" w:type="dxa"/>
            <w:tcBorders>
              <w:left w:val="single" w:sz="4" w:space="0" w:color="auto"/>
              <w:bottom w:val="nil"/>
              <w:right w:val="single" w:sz="4" w:space="0" w:color="auto"/>
            </w:tcBorders>
          </w:tcPr>
          <w:p w14:paraId="330D47FD" w14:textId="77777777" w:rsidR="00B21FFA" w:rsidRDefault="00EF0561">
            <w:pPr>
              <w:spacing w:line="140" w:lineRule="atLeast"/>
              <w:jc w:val="right"/>
              <w:rPr>
                <w:rFonts w:cs="Arial"/>
                <w:sz w:val="14"/>
                <w:szCs w:val="14"/>
              </w:rPr>
            </w:pPr>
            <w:r w:rsidRPr="00B57B36">
              <w:rPr>
                <w:rFonts w:cs="Arial"/>
                <w:sz w:val="14"/>
                <w:szCs w:val="14"/>
              </w:rPr>
              <w:t>A publication of</w:t>
            </w:r>
          </w:p>
          <w:p w14:paraId="1F8F8FA7" w14:textId="77777777" w:rsidR="000A03B2" w:rsidRPr="00B57B36" w:rsidRDefault="000A03B2" w:rsidP="00CD5FE2">
            <w:pPr>
              <w:jc w:val="right"/>
            </w:pPr>
            <w:r w:rsidRPr="00B57B36">
              <w:rPr>
                <w:noProof/>
                <w:lang w:val="it-IT" w:eastAsia="it-IT"/>
              </w:rPr>
              <w:drawing>
                <wp:inline distT="0" distB="0" distL="0" distR="0" wp14:anchorId="73ABF040" wp14:editId="262CCDF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38FDAB8" w14:textId="77777777" w:rsidTr="00DE264A">
        <w:trPr>
          <w:trHeight w:val="567"/>
          <w:jc w:val="center"/>
        </w:trPr>
        <w:tc>
          <w:tcPr>
            <w:tcW w:w="6946" w:type="dxa"/>
            <w:vMerge/>
            <w:tcBorders>
              <w:right w:val="single" w:sz="4" w:space="0" w:color="auto"/>
            </w:tcBorders>
          </w:tcPr>
          <w:p w14:paraId="067C585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B54C7C8" w14:textId="77777777" w:rsidR="00B21FFA" w:rsidRDefault="00EF0561">
            <w:pPr>
              <w:spacing w:line="140" w:lineRule="atLeast"/>
              <w:jc w:val="right"/>
              <w:rPr>
                <w:rFonts w:cs="Arial"/>
                <w:sz w:val="14"/>
                <w:szCs w:val="14"/>
              </w:rPr>
            </w:pPr>
            <w:r w:rsidRPr="00B57B36">
              <w:rPr>
                <w:rFonts w:cs="Arial"/>
                <w:sz w:val="14"/>
                <w:szCs w:val="14"/>
              </w:rPr>
              <w:t>The Italian Association</w:t>
            </w:r>
          </w:p>
          <w:p w14:paraId="2E8131E1" w14:textId="77777777" w:rsidR="00B21FFA" w:rsidRDefault="00EF0561">
            <w:pPr>
              <w:spacing w:line="140" w:lineRule="atLeast"/>
              <w:jc w:val="right"/>
              <w:rPr>
                <w:rFonts w:cs="Arial"/>
                <w:sz w:val="14"/>
                <w:szCs w:val="14"/>
              </w:rPr>
            </w:pPr>
            <w:r w:rsidRPr="00B57B36">
              <w:rPr>
                <w:rFonts w:cs="Arial"/>
                <w:sz w:val="14"/>
                <w:szCs w:val="14"/>
              </w:rPr>
              <w:t>of Chemical Engineering</w:t>
            </w:r>
          </w:p>
          <w:p w14:paraId="2D633FB5" w14:textId="77777777" w:rsidR="00B21FFA" w:rsidRDefault="00EF0561">
            <w:pPr>
              <w:spacing w:line="140" w:lineRule="atLeast"/>
              <w:jc w:val="right"/>
              <w:rPr>
                <w:rFonts w:cs="Arial"/>
                <w:sz w:val="13"/>
                <w:szCs w:val="13"/>
              </w:rPr>
            </w:pPr>
            <w:r w:rsidRPr="000D0268">
              <w:rPr>
                <w:rFonts w:cs="Arial"/>
                <w:sz w:val="13"/>
                <w:szCs w:val="13"/>
              </w:rPr>
              <w:t>Online at www.cetjournal.it</w:t>
            </w:r>
          </w:p>
        </w:tc>
      </w:tr>
      <w:tr w:rsidR="000A03B2" w:rsidRPr="00B57B36" w14:paraId="7B27757F" w14:textId="77777777" w:rsidTr="00DE264A">
        <w:trPr>
          <w:trHeight w:val="68"/>
          <w:jc w:val="center"/>
        </w:trPr>
        <w:tc>
          <w:tcPr>
            <w:tcW w:w="8789" w:type="dxa"/>
            <w:gridSpan w:val="2"/>
          </w:tcPr>
          <w:p w14:paraId="50C6A81F" w14:textId="77777777" w:rsidR="00B21FFA" w:rsidRDefault="00EF0561">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 xml:space="preserve">Editors: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702CA0F3" w14:textId="77777777" w:rsidR="00B21FFA" w:rsidRDefault="00EF0561">
            <w:pPr>
              <w:tabs>
                <w:tab w:val="left" w:pos="-108"/>
              </w:tabs>
              <w:spacing w:line="140" w:lineRule="atLeast"/>
              <w:ind w:left="-107"/>
              <w:jc w:val="left"/>
            </w:pPr>
            <w:r>
              <w:rPr>
                <w:rFonts w:ascii="Tahoma" w:hAnsi="Tahoma" w:cs="Tahoma"/>
                <w:iCs/>
                <w:color w:val="333333"/>
                <w:sz w:val="14"/>
                <w:szCs w:val="14"/>
                <w:lang w:eastAsia="it-IT"/>
              </w:rPr>
              <w:t>Copyright © 2022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 xml:space="preserve">ISBN </w:t>
            </w:r>
            <w:r w:rsidR="008D32B9">
              <w:rPr>
                <w:rFonts w:ascii="Tahoma" w:hAnsi="Tahoma" w:cs="Tahoma"/>
                <w:sz w:val="14"/>
                <w:szCs w:val="14"/>
              </w:rPr>
              <w:t>978-88-95608-89-1</w:t>
            </w:r>
            <w:r w:rsidR="007B48F9" w:rsidRPr="00EF06D9">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 xml:space="preserve">ISSN </w:t>
            </w:r>
            <w:r w:rsidR="00300E56" w:rsidRPr="00B57B36">
              <w:rPr>
                <w:rFonts w:ascii="Tahoma" w:hAnsi="Tahoma" w:cs="Tahoma"/>
                <w:iCs/>
                <w:color w:val="333333"/>
                <w:sz w:val="14"/>
                <w:szCs w:val="14"/>
                <w:lang w:eastAsia="it-IT"/>
              </w:rPr>
              <w:t>2283-9216</w:t>
            </w:r>
          </w:p>
        </w:tc>
      </w:tr>
    </w:tbl>
    <w:p w14:paraId="33D386A5"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54E12502" w14:textId="77777777" w:rsidR="00B21FFA" w:rsidRDefault="00EF0561">
      <w:pPr>
        <w:pStyle w:val="CETHeadingxx"/>
        <w:jc w:val="center"/>
        <w:rPr>
          <w:sz w:val="32"/>
          <w:szCs w:val="32"/>
          <w:lang w:val="en-US"/>
        </w:rPr>
      </w:pPr>
      <w:r w:rsidRPr="001B72B9">
        <w:rPr>
          <w:sz w:val="32"/>
          <w:szCs w:val="32"/>
          <w:lang w:val="en-US"/>
        </w:rPr>
        <w:t xml:space="preserve">Analysis </w:t>
      </w:r>
      <w:r w:rsidR="001B72B9" w:rsidRPr="001B72B9">
        <w:rPr>
          <w:sz w:val="32"/>
          <w:szCs w:val="32"/>
          <w:lang w:val="en-US"/>
        </w:rPr>
        <w:t>of quality management, industrial safety and environmental performance in the home appliances industries, Bogotá-Colombia</w:t>
      </w:r>
    </w:p>
    <w:p w14:paraId="5C5598FD" w14:textId="7071217B" w:rsidR="00B21FFA" w:rsidRDefault="00EF0561">
      <w:pPr>
        <w:pStyle w:val="CETAuthors"/>
        <w:rPr>
          <w:lang w:val="es-CO"/>
        </w:rPr>
      </w:pPr>
      <w:r w:rsidRPr="001B72B9">
        <w:rPr>
          <w:rFonts w:cstheme="minorHAnsi"/>
          <w:lang w:val="es-CO"/>
        </w:rPr>
        <w:t>Jeniffer Gracia</w:t>
      </w:r>
      <w:r w:rsidR="00B57E6F" w:rsidRPr="001B72B9">
        <w:rPr>
          <w:vertAlign w:val="superscript"/>
          <w:lang w:val="es-CO"/>
        </w:rPr>
        <w:t>a</w:t>
      </w:r>
      <w:r w:rsidRPr="001B72B9">
        <w:rPr>
          <w:vertAlign w:val="superscript"/>
          <w:lang w:val="es-CO"/>
        </w:rPr>
        <w:t>*</w:t>
      </w:r>
      <w:r w:rsidR="00B57E6F" w:rsidRPr="001B72B9">
        <w:rPr>
          <w:lang w:val="es-CO"/>
        </w:rPr>
        <w:t xml:space="preserve">, </w:t>
      </w:r>
      <w:r w:rsidRPr="001B72B9">
        <w:rPr>
          <w:rFonts w:cstheme="minorHAnsi"/>
          <w:lang w:val="es-CO"/>
        </w:rPr>
        <w:t>Paola Acevedo</w:t>
      </w:r>
      <w:r w:rsidR="00B57E6F" w:rsidRPr="001B72B9">
        <w:rPr>
          <w:vertAlign w:val="superscript"/>
          <w:lang w:val="es-CO"/>
        </w:rPr>
        <w:t>b</w:t>
      </w:r>
      <w:r w:rsidR="00B57E6F" w:rsidRPr="001B72B9">
        <w:rPr>
          <w:lang w:val="es-CO"/>
        </w:rPr>
        <w:t xml:space="preserve">, </w:t>
      </w:r>
      <w:r w:rsidR="008C7439">
        <w:rPr>
          <w:rFonts w:cstheme="minorHAnsi"/>
          <w:lang w:val="es-CO"/>
        </w:rPr>
        <w:t>Carlos Montenegro</w:t>
      </w:r>
      <w:r w:rsidR="008C7439" w:rsidRPr="008C7439">
        <w:rPr>
          <w:rFonts w:cstheme="minorHAnsi"/>
          <w:vertAlign w:val="superscript"/>
          <w:lang w:val="es-CO"/>
        </w:rPr>
        <w:t>a</w:t>
      </w:r>
    </w:p>
    <w:p w14:paraId="5ADB04E4" w14:textId="77777777" w:rsidR="00B21FFA" w:rsidRDefault="00EF0561">
      <w:pPr>
        <w:pStyle w:val="CETAddress"/>
        <w:jc w:val="both"/>
        <w:rPr>
          <w:lang w:val="es-CO"/>
        </w:rPr>
      </w:pPr>
      <w:r w:rsidRPr="00EC2CC9">
        <w:rPr>
          <w:vertAlign w:val="superscript"/>
          <w:lang w:val="es-CO"/>
        </w:rPr>
        <w:t>a</w:t>
      </w:r>
      <w:r w:rsidR="00EC2CC9" w:rsidRPr="00EC2CC9">
        <w:rPr>
          <w:lang w:val="es-ES"/>
        </w:rPr>
        <w:t>Universidad Distrital "Francisco José de Caldas", Bogota, Carrera 7 No. 40B-53, Colombia</w:t>
      </w:r>
    </w:p>
    <w:p w14:paraId="1F5776A5" w14:textId="16F25831" w:rsidR="00B21FFA" w:rsidRPr="007D1EA1" w:rsidRDefault="00EF0561">
      <w:pPr>
        <w:pStyle w:val="CETAddress"/>
        <w:jc w:val="both"/>
        <w:rPr>
          <w:lang w:val="en-US"/>
        </w:rPr>
      </w:pPr>
      <w:r w:rsidRPr="007D1EA1">
        <w:rPr>
          <w:vertAlign w:val="superscript"/>
          <w:lang w:val="en-US"/>
        </w:rPr>
        <w:t>b</w:t>
      </w:r>
      <w:r w:rsidR="00EC2CC9" w:rsidRPr="007D1EA1">
        <w:rPr>
          <w:lang w:val="en-US"/>
        </w:rPr>
        <w:t>Department of Industrial Engineering, Universidad Cooperativa de Colombia, Bogotá, Avenida Caracas 37-63, Colombia</w:t>
      </w:r>
    </w:p>
    <w:p w14:paraId="796F6D48" w14:textId="51C14EBA" w:rsidR="00B21FFA" w:rsidRDefault="00182221">
      <w:pPr>
        <w:pStyle w:val="CETAddress"/>
      </w:pPr>
      <w:r w:rsidRPr="007D1EA1">
        <w:rPr>
          <w:lang w:val="en-US"/>
        </w:rPr>
        <w:t xml:space="preserve"> </w:t>
      </w:r>
      <w:hyperlink r:id="rId10" w:history="1">
        <w:r w:rsidR="008C7439" w:rsidRPr="00407BD8">
          <w:rPr>
            <w:rStyle w:val="Hipervnculo"/>
          </w:rPr>
          <w:t>jpgraciar@udistrital.edu.co</w:t>
        </w:r>
      </w:hyperlink>
    </w:p>
    <w:p w14:paraId="42C05F16" w14:textId="77777777" w:rsidR="00182221" w:rsidRDefault="00182221" w:rsidP="00600535">
      <w:pPr>
        <w:pStyle w:val="CETBodytext"/>
        <w:rPr>
          <w:lang w:val="en-GB"/>
        </w:rPr>
      </w:pPr>
    </w:p>
    <w:p w14:paraId="471CF9AB" w14:textId="48895DB4" w:rsidR="0075553E" w:rsidRPr="0075553E" w:rsidRDefault="0075553E" w:rsidP="0075553E">
      <w:pPr>
        <w:pStyle w:val="CETBodytext"/>
        <w:rPr>
          <w:szCs w:val="18"/>
        </w:rPr>
      </w:pPr>
      <w:r w:rsidRPr="0075553E">
        <w:rPr>
          <w:szCs w:val="18"/>
        </w:rPr>
        <w:t>The present paper identifies environmental and industrial safety aspects generated during the production processes of two home appliances companies located in Bogotá. Essential quality tools were used, such as the Deming cycle and some of the seven (7) quality control tools</w:t>
      </w:r>
      <w:r>
        <w:rPr>
          <w:szCs w:val="18"/>
        </w:rPr>
        <w:t>,</w:t>
      </w:r>
      <w:r w:rsidRPr="0075553E">
        <w:rPr>
          <w:szCs w:val="18"/>
        </w:rPr>
        <w:t xml:space="preserve"> since it allows a more specific and complete approach to industrial problems. In addition, there is a methodology used to generate preventive strategies in these companies that mitigate workers' health and safety effects and optimize resources, raw materials, and costs (López, 2016).</w:t>
      </w:r>
    </w:p>
    <w:p w14:paraId="01DDA5F4" w14:textId="3DA2F1A8" w:rsidR="00966D0C" w:rsidRDefault="0075553E" w:rsidP="0075553E">
      <w:pPr>
        <w:pStyle w:val="CETBodytext"/>
        <w:rPr>
          <w:szCs w:val="18"/>
        </w:rPr>
      </w:pPr>
      <w:r w:rsidRPr="0075553E">
        <w:rPr>
          <w:szCs w:val="18"/>
        </w:rPr>
        <w:t xml:space="preserve"> The analysis results evidenced that the companies generate a high environmental impact despite the controls that the department of environmental management takes. The two companies are producing a total of annual waste, reported as follows: 1.188 t that are usable, 1.45 t of non-usable, 2.85t of hazardous matters, 3.15t of waste electrical and electronic equipment (WEEE), as well as NOX, CO2 and VOC atmospheric emissions. Consequently, the environment and the health of workers are affected. In addition, the tools applied demonstrated that the final waste has correct disposal. Finally, the opportunities for business improvement in occupational safety and health and environmental management systems were proposed (Gracia et al, 2018).</w:t>
      </w:r>
    </w:p>
    <w:p w14:paraId="4DA81D2E" w14:textId="20490C84" w:rsidR="00B21FFA" w:rsidRDefault="00EF0561" w:rsidP="00966D0C">
      <w:pPr>
        <w:pStyle w:val="CETBodytext"/>
      </w:pPr>
      <w:r w:rsidRPr="00075B03">
        <w:rPr>
          <w:b/>
        </w:rPr>
        <w:t xml:space="preserve">Keywords: </w:t>
      </w:r>
      <w:r>
        <w:t>quality control tools</w:t>
      </w:r>
      <w:r w:rsidRPr="00075B03">
        <w:t xml:space="preserve">, Deming cycle, environmental management, industrial safety, </w:t>
      </w:r>
      <w:r>
        <w:t xml:space="preserve">home </w:t>
      </w:r>
      <w:r w:rsidRPr="00075B03">
        <w:t>appliance industries.</w:t>
      </w:r>
    </w:p>
    <w:p w14:paraId="45744A3F" w14:textId="77777777" w:rsidR="00B21FFA" w:rsidRDefault="00EF0561">
      <w:pPr>
        <w:pStyle w:val="CETHeading1"/>
      </w:pPr>
      <w:r>
        <w:t>Introduction</w:t>
      </w:r>
    </w:p>
    <w:p w14:paraId="5C0DB7A5" w14:textId="43A16F59" w:rsidR="009F7626" w:rsidRDefault="009D7D17" w:rsidP="00BB1B78">
      <w:pPr>
        <w:pStyle w:val="CETBodytext"/>
      </w:pPr>
      <w:r w:rsidRPr="009D7D17">
        <w:t xml:space="preserve">The city of Bogotá D.C., being one of the cities with an industrial epicenter in Colombia, presents an important environmental problem due to the negative impacts on natural resources. According to statistics, Bogotá generates approximately 6200 tons of solid waste per day, with the industrial sector contributing significantly. (Ardila, 2011). Furthermore, the manufacturing </w:t>
      </w:r>
      <w:r w:rsidR="0075553E">
        <w:t>industry</w:t>
      </w:r>
      <w:r w:rsidRPr="009D7D17">
        <w:t xml:space="preserve"> of household appliances in Bogotá is of great importance for its large production volumes due to the country's high demand and rapid transition from small to medium-sized enterprises.</w:t>
      </w:r>
    </w:p>
    <w:p w14:paraId="437BE120" w14:textId="77777777" w:rsidR="009D7D17" w:rsidRPr="00BD7DD4" w:rsidRDefault="009D7D17" w:rsidP="00BB1B78">
      <w:pPr>
        <w:pStyle w:val="CETBodytext"/>
      </w:pPr>
    </w:p>
    <w:p w14:paraId="7BCABD17" w14:textId="19D24A2D" w:rsidR="00FD10E9" w:rsidRDefault="00C51CBE" w:rsidP="003F60B5">
      <w:pPr>
        <w:pStyle w:val="CETBodytext"/>
      </w:pPr>
      <w:r w:rsidRPr="00C51CBE">
        <w:t>On the other hand, the companies of the household appliances sector in Bogotá D.C. present different problems to implementing and maintaining environmental management systems because their productive activities generate environmental pollution by the inadequate management of resources, the use of chemical substances</w:t>
      </w:r>
      <w:r w:rsidR="0075553E">
        <w:t>,</w:t>
      </w:r>
      <w:r w:rsidRPr="00C51CBE">
        <w:t xml:space="preserve"> and raw materials that </w:t>
      </w:r>
      <w:r w:rsidR="0075553E">
        <w:t>create</w:t>
      </w:r>
      <w:r w:rsidRPr="00C51CBE">
        <w:t xml:space="preserve"> </w:t>
      </w:r>
      <w:r w:rsidR="00B90052">
        <w:t>smog</w:t>
      </w:r>
      <w:r w:rsidRPr="00C51CBE">
        <w:t xml:space="preserve"> and affect the health of workers. Therefore, according to the above, these companies must improve their processes to mitigate the environmental impact generated, developing practices that help improve these effects. However, among the most reiterative arguments of the managers of these industries before the barriers to demonstrate improvements in their environmental performance, allowing them to obtain certification in standards such as ISO 14001:2015, are lack of financial resources, lack of knowledge of how to implement the </w:t>
      </w:r>
      <w:r w:rsidR="0075553E">
        <w:t>bar</w:t>
      </w:r>
      <w:r w:rsidRPr="00C51CBE">
        <w:t>, or even declare that voluntarily do not want to manage their companies under this type of standards.</w:t>
      </w:r>
    </w:p>
    <w:p w14:paraId="02A0234F" w14:textId="77777777" w:rsidR="00C51CBE" w:rsidRPr="00BD7DD4" w:rsidRDefault="00C51CBE" w:rsidP="003F60B5">
      <w:pPr>
        <w:pStyle w:val="CETBodytext"/>
      </w:pPr>
    </w:p>
    <w:p w14:paraId="08229EE5" w14:textId="77777777" w:rsidR="00C51CBE" w:rsidRDefault="00C51CBE" w:rsidP="00C51CBE">
      <w:pPr>
        <w:pStyle w:val="CETBodytext"/>
      </w:pPr>
      <w:r>
        <w:lastRenderedPageBreak/>
        <w:t xml:space="preserve">When companies are not certified in environmental management systems and safety and health at work, it triggers a series of undesirable effects in the medium term as; low-quality processes, instability in customer relations, lower profitability, limitations to do business with large companies, losing the opportunity to be recognized for controlling the environmental impact. </w:t>
      </w:r>
    </w:p>
    <w:p w14:paraId="333661D4" w14:textId="77777777" w:rsidR="00C51CBE" w:rsidRDefault="00C51CBE" w:rsidP="00C51CBE">
      <w:pPr>
        <w:pStyle w:val="CETBodytext"/>
      </w:pPr>
      <w:r>
        <w:t xml:space="preserve"> </w:t>
      </w:r>
    </w:p>
    <w:p w14:paraId="752CE09A" w14:textId="563DF845" w:rsidR="00B257A3" w:rsidRDefault="00C51CBE" w:rsidP="00C51CBE">
      <w:pPr>
        <w:pStyle w:val="CETBodytext"/>
      </w:pPr>
      <w:r>
        <w:t xml:space="preserve">Considering the importance of this issue for </w:t>
      </w:r>
      <w:r w:rsidR="0075553E">
        <w:t>companies’ sustainability</w:t>
      </w:r>
      <w:r>
        <w:t>, the District Secretariat of Environment of Bogota D.C. provides free support to industries to strengthen environmental self-regulation through the District Environmental Excellence Program PREAD, which requires rational use of natural resources and elimination of any pollutant load. This program encourages and gives reputational and economic benefits to registered companies, mitigating their pollution and contributing to the environment.</w:t>
      </w:r>
    </w:p>
    <w:p w14:paraId="6C0F01D6" w14:textId="16C66608" w:rsidR="00C67C3E" w:rsidRDefault="00C67C3E" w:rsidP="00C51CBE">
      <w:pPr>
        <w:pStyle w:val="CETBodytext"/>
      </w:pPr>
    </w:p>
    <w:p w14:paraId="274D0777" w14:textId="71F34FF0" w:rsidR="00A56C01" w:rsidRDefault="00C67C3E" w:rsidP="00A56C01">
      <w:pPr>
        <w:pStyle w:val="CETBodytext"/>
      </w:pPr>
      <w:r w:rsidRPr="00C67C3E">
        <w:t>This contribution is the result of the research carried out in two companies of the household appliances sector in Bogotá</w:t>
      </w:r>
      <w:r w:rsidR="0075553E">
        <w:t>,</w:t>
      </w:r>
      <w:r w:rsidRPr="00C67C3E">
        <w:t xml:space="preserve"> D.C., registered in the PREAD program. </w:t>
      </w:r>
      <w:r w:rsidR="0069562B" w:rsidRPr="0069562B">
        <w:t>Written in the PREAD program, significant environmental impacts were analyzed.</w:t>
      </w:r>
      <w:r w:rsidR="0069562B">
        <w:t xml:space="preserve"> </w:t>
      </w:r>
      <w:r w:rsidRPr="00C67C3E">
        <w:t>Furthermore, the causes that led these companies to fail to maintain environmental management systems and health and safety at work were evaluated, to formulate solution strategies for these industries to improve their performance and subsequently achieve certification.</w:t>
      </w:r>
      <w:r w:rsidR="00A56C01">
        <w:t xml:space="preserve"> For this purpose, the authors applied quality management tools and cleaner production tools to analyze environmental and health problems associated with companies in the household appliances sector. Additionally, to solve the issues explored in the industry's understudy, it was necessary the design specific strategies for continuous improvement.</w:t>
      </w:r>
    </w:p>
    <w:p w14:paraId="1071ADA2" w14:textId="77777777" w:rsidR="00B21FFA" w:rsidRDefault="00EF0561">
      <w:pPr>
        <w:pStyle w:val="CETHeading1"/>
        <w:rPr>
          <w:rFonts w:eastAsiaTheme="minorHAnsi"/>
        </w:rPr>
      </w:pPr>
      <w:r w:rsidRPr="000226AB">
        <w:rPr>
          <w:rFonts w:eastAsiaTheme="minorHAnsi"/>
        </w:rPr>
        <w:t>Materials and methods</w:t>
      </w:r>
    </w:p>
    <w:p w14:paraId="4FC65786" w14:textId="07B64114" w:rsidR="00F20087" w:rsidRPr="00BD7DD4" w:rsidRDefault="00F20087">
      <w:pPr>
        <w:pStyle w:val="CETBodytext"/>
      </w:pPr>
      <w:r w:rsidRPr="00F20087">
        <w:t xml:space="preserve">The present study was conducted in two industries of the household appliances sector voluntarily enrolled in the District Environmental Excellence Program (PREAD) in Bogotá D.C. Applying the Kaizen method and using the "PDCA" approach: Plan, Do, Check, and Act (Alvarado and </w:t>
      </w:r>
      <w:proofErr w:type="spellStart"/>
      <w:r w:rsidRPr="00F20087">
        <w:t>Pumisacho</w:t>
      </w:r>
      <w:proofErr w:type="spellEnd"/>
      <w:r w:rsidRPr="00F20087">
        <w:t>, 2017), the following techniques were developed:  The diagnostic stage identified the leading environmental aspects, critical points of waste and forms of residual pollution in the companies of the study using cleaner production tools, such as flow analysis, Eco</w:t>
      </w:r>
      <w:r>
        <w:t>-</w:t>
      </w:r>
      <w:r w:rsidRPr="00F20087">
        <w:t xml:space="preserve">balances, Ecomaps and the Matrix Material, Energy, Waste- MED (Van Fan, et al., 2020) developed during several visits to the companies using checklists and interviews with key personnel, through which information was obtained from the development of the production process. Secondly, once the primary sources of contamination and generators of </w:t>
      </w:r>
      <w:r w:rsidR="0075553E">
        <w:t>affectation</w:t>
      </w:r>
      <w:r w:rsidRPr="00F20087">
        <w:t xml:space="preserve"> to the health of workers were identified, the state of implementation of environmental management and aspects related to occupational health and safety in these companies was analyzed, for which quality tools such as </w:t>
      </w:r>
      <w:r w:rsidR="00B90052" w:rsidRPr="00F20087">
        <w:t>cause,</w:t>
      </w:r>
      <w:r w:rsidRPr="00F20087">
        <w:t xml:space="preserve"> and effect diagram and affinity diagram were elaborated. Finally, the necessary improvement actions were established for the studied companies using the Failure Mode and Effects Analysis (FMEA) methodology.</w:t>
      </w:r>
    </w:p>
    <w:p w14:paraId="5BC3C486" w14:textId="77777777" w:rsidR="00B21FFA" w:rsidRDefault="00EF0561">
      <w:pPr>
        <w:pStyle w:val="CETHeading1"/>
      </w:pPr>
      <w:r>
        <w:t xml:space="preserve">Results </w:t>
      </w:r>
      <w:r w:rsidR="00081B7C">
        <w:t xml:space="preserve">and Analysis </w:t>
      </w:r>
    </w:p>
    <w:p w14:paraId="00573DF2" w14:textId="77777777" w:rsidR="00B21FFA" w:rsidRPr="00BD7DD4" w:rsidRDefault="00EF0561">
      <w:pPr>
        <w:pStyle w:val="CETHeading1"/>
        <w:numPr>
          <w:ilvl w:val="0"/>
          <w:numId w:val="0"/>
        </w:numPr>
      </w:pPr>
      <w:r w:rsidRPr="00BD7DD4">
        <w:t xml:space="preserve">3.1 </w:t>
      </w:r>
      <w:r w:rsidR="0018288B" w:rsidRPr="00BD7DD4">
        <w:t>Diagnosis of critical points of the production processes</w:t>
      </w:r>
    </w:p>
    <w:p w14:paraId="078B30EA" w14:textId="0079E035" w:rsidR="000A68CB" w:rsidRDefault="004450C0">
      <w:pPr>
        <w:pStyle w:val="CETBodytext"/>
      </w:pPr>
      <w:r w:rsidRPr="004450C0">
        <w:t>The study starts with formulating two cleaner production tools for the two companies studied</w:t>
      </w:r>
      <w:r w:rsidR="0075553E">
        <w:t>: Process</w:t>
      </w:r>
      <w:r w:rsidRPr="004450C0">
        <w:t xml:space="preserve"> Flow Analysis, Material Energy Waste Matrix - MED, Eco balance, and Ecomaps. The tools show that their final waste is being disposed of correctly. However, the information obtained during the visits shows a high environmental impact despite the environmental management department's controls. The two companies generate a total annual waste: 1.188t of usable waste, 1.45t of non-usable waste, 2.85 t of hazardous waste, 3.15t of WEEE, and atmospheric emissions: NOX, CO</w:t>
      </w:r>
      <w:r w:rsidRPr="008C7439">
        <w:rPr>
          <w:vertAlign w:val="subscript"/>
        </w:rPr>
        <w:t>2</w:t>
      </w:r>
      <w:r w:rsidR="0075553E">
        <w:rPr>
          <w:vertAlign w:val="subscript"/>
        </w:rPr>
        <w:t>,</w:t>
      </w:r>
      <w:r w:rsidR="008C7439">
        <w:t xml:space="preserve"> </w:t>
      </w:r>
      <w:r w:rsidRPr="004450C0">
        <w:t xml:space="preserve">and VOC. </w:t>
      </w:r>
    </w:p>
    <w:p w14:paraId="4A10596C" w14:textId="402FDF02" w:rsidR="004450C0" w:rsidRPr="00BD7DD4" w:rsidRDefault="006A15BA">
      <w:pPr>
        <w:pStyle w:val="CETBodytext"/>
      </w:pPr>
      <w:r w:rsidRPr="00152EC5">
        <w:t>The results are also in line with those of the study on the life cycle of desktop computers in China by Duan et al. in 2008, which revealed the problems associated with greenhouse gas emissions and energy consumption from computer production.</w:t>
      </w:r>
      <w:r w:rsidRPr="006A15BA">
        <w:t xml:space="preserve"> </w:t>
      </w:r>
      <w:r w:rsidR="004450C0" w:rsidRPr="004450C0">
        <w:t>Figure 1 shows the graphical scheme of the Eco balance (Murakami, et al., 2019) to produce 18000 desktop computers.</w:t>
      </w:r>
    </w:p>
    <w:p w14:paraId="41525A89" w14:textId="77777777" w:rsidR="00B21FFA" w:rsidRPr="00BD7DD4" w:rsidRDefault="00EF0561">
      <w:pPr>
        <w:pStyle w:val="CETHeading1"/>
        <w:numPr>
          <w:ilvl w:val="0"/>
          <w:numId w:val="0"/>
        </w:numPr>
      </w:pPr>
      <w:r w:rsidRPr="00BD7DD4">
        <w:t xml:space="preserve">3.2 Application of quality tools </w:t>
      </w:r>
    </w:p>
    <w:p w14:paraId="3E1F156F" w14:textId="57E77CF6" w:rsidR="004C6966" w:rsidRDefault="00A56C01" w:rsidP="004C6966">
      <w:pPr>
        <w:pStyle w:val="CETBodytext"/>
      </w:pPr>
      <w:r w:rsidRPr="00A56C01">
        <w:t xml:space="preserve">To find the root causes of the </w:t>
      </w:r>
      <w:r w:rsidR="000F1DE6" w:rsidRPr="000F1DE6">
        <w:t>study's most recurrent environmental management and occupational health and safety problems</w:t>
      </w:r>
      <w:r w:rsidRPr="00A56C01">
        <w:t xml:space="preserve">, </w:t>
      </w:r>
      <w:r w:rsidR="000F1DE6" w:rsidRPr="00A56C01">
        <w:t>companies</w:t>
      </w:r>
      <w:r w:rsidRPr="00A56C01">
        <w:t xml:space="preserve"> and their possible opportunities for improving quality tools were necessary, such as the </w:t>
      </w:r>
      <w:r w:rsidR="000F1DE6" w:rsidRPr="00A56C01">
        <w:t>cause-and-effect</w:t>
      </w:r>
      <w:r w:rsidRPr="00A56C01">
        <w:t xml:space="preserve"> diagram and affinity diagram.</w:t>
      </w:r>
      <w:r w:rsidR="004C6966">
        <w:t xml:space="preserve"> (Gutiérrez, 2010)</w:t>
      </w:r>
    </w:p>
    <w:p w14:paraId="49861A04" w14:textId="77777777" w:rsidR="004C6966" w:rsidRDefault="004C6966" w:rsidP="004C6966">
      <w:pPr>
        <w:pStyle w:val="CETBodytext"/>
      </w:pPr>
      <w:r>
        <w:t xml:space="preserve"> </w:t>
      </w:r>
    </w:p>
    <w:p w14:paraId="08DDF067" w14:textId="77777777" w:rsidR="004C6966" w:rsidRPr="00BD7DD4" w:rsidRDefault="004C6966">
      <w:pPr>
        <w:pStyle w:val="CETBodytext"/>
      </w:pPr>
    </w:p>
    <w:p w14:paraId="364A2C44" w14:textId="4ED3BE6E" w:rsidR="004450C0" w:rsidRDefault="00AA584A" w:rsidP="004450C0">
      <w:pPr>
        <w:pStyle w:val="CETBodytext"/>
        <w:jc w:val="center"/>
      </w:pPr>
      <w:r>
        <w:object w:dxaOrig="9451" w:dyaOrig="8281" w14:anchorId="7DB8D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9pt;height:268pt" o:ole="">
            <v:imagedata r:id="rId11" o:title=""/>
          </v:shape>
          <o:OLEObject Type="Embed" ProgID="Visio.Drawing.15" ShapeID="_x0000_i1025" DrawAspect="Content" ObjectID="_1709569356" r:id="rId12"/>
        </w:object>
      </w:r>
    </w:p>
    <w:p w14:paraId="5690F48F" w14:textId="31698584" w:rsidR="004450C0" w:rsidRDefault="004450C0" w:rsidP="004450C0">
      <w:pPr>
        <w:pStyle w:val="CETCaption"/>
      </w:pPr>
      <w:r w:rsidRPr="0018288B">
        <w:t>Figure 1</w:t>
      </w:r>
      <w:r w:rsidR="008C7439">
        <w:t>:</w:t>
      </w:r>
      <w:r w:rsidRPr="0018288B">
        <w:t xml:space="preserve"> </w:t>
      </w:r>
      <w:r>
        <w:t xml:space="preserve">Encamping </w:t>
      </w:r>
      <w:r w:rsidRPr="00C031D4">
        <w:t>manufacture and assembly of 18000 desktop computers</w:t>
      </w:r>
    </w:p>
    <w:p w14:paraId="2906788A" w14:textId="63E6E7C9" w:rsidR="00B16D3A" w:rsidRPr="00B16D3A" w:rsidRDefault="00A600E8" w:rsidP="000A68CB">
      <w:pPr>
        <w:pStyle w:val="CETCaption"/>
      </w:pPr>
      <w:r w:rsidRPr="00152EC5">
        <w:rPr>
          <w:i w:val="0"/>
          <w:lang w:val="en-US"/>
        </w:rPr>
        <w:t xml:space="preserve">By </w:t>
      </w:r>
      <w:r w:rsidR="0075553E" w:rsidRPr="00152EC5">
        <w:rPr>
          <w:i w:val="0"/>
          <w:lang w:val="en-US"/>
        </w:rPr>
        <w:t>analyzing</w:t>
      </w:r>
      <w:r w:rsidRPr="00152EC5">
        <w:rPr>
          <w:i w:val="0"/>
          <w:lang w:val="en-US"/>
        </w:rPr>
        <w:t xml:space="preserve"> the environmental impacts of the manufacture and assembly of 18,000 desktop computers, it was possible to detail the input and output elements of the process, identifying the </w:t>
      </w:r>
      <w:r w:rsidR="0075553E" w:rsidRPr="00152EC5">
        <w:rPr>
          <w:i w:val="0"/>
          <w:lang w:val="en-US"/>
        </w:rPr>
        <w:t>leading</w:t>
      </w:r>
      <w:r w:rsidRPr="00152EC5">
        <w:rPr>
          <w:i w:val="0"/>
          <w:lang w:val="en-US"/>
        </w:rPr>
        <w:t xml:space="preserve"> causes of pollution, on which the company should focus its integrated management strategies.</w:t>
      </w:r>
      <w:r w:rsidR="00126831" w:rsidRPr="00152EC5">
        <w:t xml:space="preserve"> </w:t>
      </w:r>
      <w:r w:rsidR="00126831" w:rsidRPr="00152EC5">
        <w:rPr>
          <w:i w:val="0"/>
          <w:lang w:val="en-US"/>
        </w:rPr>
        <w:t xml:space="preserve">These results are consistent with the life cycle analysis study of desktop computer display production, conducted by </w:t>
      </w:r>
      <w:proofErr w:type="spellStart"/>
      <w:r w:rsidR="000A68CB" w:rsidRPr="00152EC5">
        <w:rPr>
          <w:rFonts w:cs="Arial"/>
          <w:i w:val="0"/>
          <w:lang w:val="en-US"/>
        </w:rPr>
        <w:t>Socolof</w:t>
      </w:r>
      <w:proofErr w:type="spellEnd"/>
      <w:r w:rsidR="00126831" w:rsidRPr="00152EC5">
        <w:rPr>
          <w:i w:val="0"/>
          <w:lang w:val="en-US"/>
        </w:rPr>
        <w:t>, Overly</w:t>
      </w:r>
      <w:r w:rsidR="0075553E" w:rsidRPr="00152EC5">
        <w:rPr>
          <w:i w:val="0"/>
          <w:lang w:val="en-US"/>
        </w:rPr>
        <w:t>,</w:t>
      </w:r>
      <w:r w:rsidR="00126831" w:rsidRPr="00152EC5">
        <w:rPr>
          <w:i w:val="0"/>
          <w:lang w:val="en-US"/>
        </w:rPr>
        <w:t xml:space="preserve"> and </w:t>
      </w:r>
      <w:proofErr w:type="spellStart"/>
      <w:r w:rsidR="00126831" w:rsidRPr="00152EC5">
        <w:rPr>
          <w:i w:val="0"/>
          <w:lang w:val="en-US"/>
        </w:rPr>
        <w:t>Geibig</w:t>
      </w:r>
      <w:proofErr w:type="spellEnd"/>
      <w:r w:rsidR="00126831" w:rsidRPr="00152EC5">
        <w:rPr>
          <w:i w:val="0"/>
          <w:lang w:val="en-US"/>
        </w:rPr>
        <w:t xml:space="preserve"> in 2005, where high environmental impacts related to energy </w:t>
      </w:r>
      <w:r w:rsidR="0075553E" w:rsidRPr="00152EC5">
        <w:rPr>
          <w:i w:val="0"/>
          <w:lang w:val="en-US"/>
        </w:rPr>
        <w:t>consumption</w:t>
      </w:r>
      <w:r w:rsidR="00126831" w:rsidRPr="00152EC5">
        <w:rPr>
          <w:i w:val="0"/>
          <w:lang w:val="en-US"/>
        </w:rPr>
        <w:t xml:space="preserve">, toxic waste generation are highlighted as </w:t>
      </w:r>
      <w:r w:rsidR="0075553E" w:rsidRPr="00152EC5">
        <w:rPr>
          <w:i w:val="0"/>
          <w:lang w:val="en-US"/>
        </w:rPr>
        <w:t>necessary</w:t>
      </w:r>
      <w:r w:rsidR="00126831" w:rsidRPr="00152EC5">
        <w:rPr>
          <w:i w:val="0"/>
          <w:lang w:val="en-US"/>
        </w:rPr>
        <w:t>.</w:t>
      </w:r>
      <w:r w:rsidR="000A68CB" w:rsidRPr="00152EC5">
        <w:rPr>
          <w:i w:val="0"/>
          <w:lang w:val="en-US"/>
        </w:rPr>
        <w:t xml:space="preserve"> </w:t>
      </w:r>
      <w:r w:rsidR="000A68CB" w:rsidRPr="00152EC5">
        <w:rPr>
          <w:i w:val="0"/>
        </w:rPr>
        <w:t xml:space="preserve">Based on </w:t>
      </w:r>
      <w:r w:rsidR="00B16D3A" w:rsidRPr="00152EC5">
        <w:rPr>
          <w:i w:val="0"/>
        </w:rPr>
        <w:t xml:space="preserve">Ishikawa's (1986) PCDA (Plan, Do, Check, Act) cycle, a fishbone diagram was developed </w:t>
      </w:r>
      <w:r w:rsidR="0075553E" w:rsidRPr="00152EC5">
        <w:rPr>
          <w:i w:val="0"/>
        </w:rPr>
        <w:t>to capture all the possible causes of the problem graphically</w:t>
      </w:r>
      <w:r w:rsidR="00B16D3A" w:rsidRPr="00152EC5">
        <w:rPr>
          <w:i w:val="0"/>
        </w:rPr>
        <w:t xml:space="preserve"> and was constructed following the method described in </w:t>
      </w:r>
      <w:proofErr w:type="spellStart"/>
      <w:r w:rsidR="00B16D3A" w:rsidRPr="00152EC5">
        <w:rPr>
          <w:i w:val="0"/>
        </w:rPr>
        <w:t>Camison</w:t>
      </w:r>
      <w:proofErr w:type="spellEnd"/>
      <w:r w:rsidR="00B16D3A" w:rsidRPr="00152EC5">
        <w:rPr>
          <w:i w:val="0"/>
        </w:rPr>
        <w:t xml:space="preserve"> et al.,</w:t>
      </w:r>
      <w:r w:rsidR="00B93A4F" w:rsidRPr="00152EC5">
        <w:rPr>
          <w:i w:val="0"/>
        </w:rPr>
        <w:t xml:space="preserve"> (2006). </w:t>
      </w:r>
      <w:r w:rsidR="00B16D3A" w:rsidRPr="00152EC5">
        <w:rPr>
          <w:i w:val="0"/>
        </w:rPr>
        <w:t xml:space="preserve">Figure 2 shows the application of the Ishikawa diagram (Abbasi, et al., 2020) </w:t>
      </w:r>
      <w:r w:rsidR="0075553E" w:rsidRPr="00152EC5">
        <w:rPr>
          <w:i w:val="0"/>
        </w:rPr>
        <w:t xml:space="preserve">to </w:t>
      </w:r>
      <w:proofErr w:type="spellStart"/>
      <w:r w:rsidR="0075553E" w:rsidRPr="00152EC5">
        <w:rPr>
          <w:i w:val="0"/>
        </w:rPr>
        <w:t>analyze</w:t>
      </w:r>
      <w:proofErr w:type="spellEnd"/>
      <w:r w:rsidR="00B16D3A" w:rsidRPr="00152EC5">
        <w:rPr>
          <w:i w:val="0"/>
        </w:rPr>
        <w:t xml:space="preserve"> the impacts generated to the environment and the health of individuals by the manufacture and assembly of desktop computers.</w:t>
      </w:r>
      <w:r w:rsidR="00B16D3A" w:rsidRPr="00B16D3A">
        <w:t xml:space="preserve"> </w:t>
      </w:r>
    </w:p>
    <w:p w14:paraId="7AB1B3D6" w14:textId="77777777" w:rsidR="009772C8" w:rsidRPr="00DD167D" w:rsidRDefault="002E0D4E" w:rsidP="00AA584A">
      <w:pPr>
        <w:pStyle w:val="CETBodytext"/>
        <w:jc w:val="center"/>
        <w:rPr>
          <w:lang w:val="es-CO"/>
        </w:rPr>
      </w:pPr>
      <w:r w:rsidRPr="002E0D4E">
        <w:rPr>
          <w:noProof/>
        </w:rPr>
        <w:drawing>
          <wp:inline distT="0" distB="0" distL="0" distR="0" wp14:anchorId="6BBD872E" wp14:editId="7EE01BC9">
            <wp:extent cx="5212977" cy="2732394"/>
            <wp:effectExtent l="0" t="0" r="6985"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9073" cy="2746072"/>
                    </a:xfrm>
                    <a:prstGeom prst="rect">
                      <a:avLst/>
                    </a:prstGeom>
                    <a:noFill/>
                    <a:ln>
                      <a:noFill/>
                    </a:ln>
                  </pic:spPr>
                </pic:pic>
              </a:graphicData>
            </a:graphic>
          </wp:inline>
        </w:drawing>
      </w:r>
    </w:p>
    <w:p w14:paraId="0E4D0F35" w14:textId="1A13B2C1" w:rsidR="00B21FFA" w:rsidRDefault="00EF0561">
      <w:pPr>
        <w:pStyle w:val="CETCaption"/>
      </w:pPr>
      <w:r w:rsidRPr="002E0D4E">
        <w:t>Figure 2</w:t>
      </w:r>
      <w:r w:rsidR="008C7439">
        <w:t>:</w:t>
      </w:r>
      <w:r w:rsidRPr="002E0D4E">
        <w:t xml:space="preserve"> </w:t>
      </w:r>
      <w:r w:rsidR="002E0D4E" w:rsidRPr="002E0D4E">
        <w:t>Cause and effect diagram of desktop computer production</w:t>
      </w:r>
    </w:p>
    <w:p w14:paraId="30A6A8F6" w14:textId="77777777" w:rsidR="000A68CB" w:rsidRDefault="00140618" w:rsidP="00867C64">
      <w:pPr>
        <w:pStyle w:val="CETBodytext"/>
      </w:pPr>
      <w:r w:rsidRPr="00140618">
        <w:lastRenderedPageBreak/>
        <w:t>Figure 3 details the affinity diagram that was built together with the staff of the organizations participating in the study and where ideas for improvement solutions to the main problems of greater complexity emerged, designed to contribute more to the sustainability of technology companies, to reduce the effects of lead, arsenic, mercury, copper, (Escolar,2018</w:t>
      </w:r>
      <w:r w:rsidR="008D1243">
        <w:t>; Marmo &amp; Dansi, 2018</w:t>
      </w:r>
      <w:r w:rsidRPr="00140618">
        <w:t>) chromium and gases such as carbon trifluoride used in plasma screens.</w:t>
      </w:r>
      <w:r w:rsidR="00126831">
        <w:t xml:space="preserve"> </w:t>
      </w:r>
    </w:p>
    <w:p w14:paraId="707299F8" w14:textId="77777777" w:rsidR="000A68CB" w:rsidRDefault="000A68CB" w:rsidP="00867C64">
      <w:pPr>
        <w:pStyle w:val="CETBodytext"/>
        <w:rPr>
          <w:highlight w:val="green"/>
        </w:rPr>
      </w:pPr>
    </w:p>
    <w:p w14:paraId="32AB9995" w14:textId="5DB95A49" w:rsidR="00140618" w:rsidRPr="00140618" w:rsidRDefault="00867C64" w:rsidP="00867C64">
      <w:pPr>
        <w:pStyle w:val="CETBodytext"/>
      </w:pPr>
      <w:r w:rsidRPr="00152EC5">
        <w:t xml:space="preserve">The affinity diagram was used, as it is a tool that </w:t>
      </w:r>
      <w:r w:rsidR="0075553E" w:rsidRPr="00152EC5">
        <w:t>synthesizes</w:t>
      </w:r>
      <w:r w:rsidRPr="00152EC5">
        <w:t xml:space="preserve"> a set of verbal data (ideas, opinions)</w:t>
      </w:r>
      <w:r w:rsidR="0075553E" w:rsidRPr="00152EC5">
        <w:t>,</w:t>
      </w:r>
      <w:r w:rsidRPr="00152EC5">
        <w:t xml:space="preserve"> grouping them according to the relationship they have with each other; for this purpose, work sessions were held with the companies' collaborators</w:t>
      </w:r>
      <w:r w:rsidR="0075553E" w:rsidRPr="00152EC5">
        <w:t>,</w:t>
      </w:r>
      <w:r w:rsidRPr="00152EC5">
        <w:t xml:space="preserve"> and brainstorming sessions were carried out. This tool is based on the principle that many of these data are related</w:t>
      </w:r>
      <w:r w:rsidR="0075553E" w:rsidRPr="00152EC5">
        <w:t xml:space="preserve"> so that</w:t>
      </w:r>
      <w:r w:rsidRPr="00152EC5">
        <w:t xml:space="preserve"> they can be gathered under a few general ideas</w:t>
      </w:r>
      <w:r w:rsidR="0075553E" w:rsidRPr="00152EC5">
        <w:t>,</w:t>
      </w:r>
      <w:r w:rsidRPr="00152EC5">
        <w:t xml:space="preserve"> and therefore, it is used in the </w:t>
      </w:r>
      <w:r w:rsidR="0075553E" w:rsidRPr="00152EC5">
        <w:t>public</w:t>
      </w:r>
      <w:r w:rsidRPr="00152EC5">
        <w:t xml:space="preserve"> planning stage of the Integrated Management System.  This tool was applied because it is very effective when the problem is complex and was carried out following the methodological steps of (Vilar, 1998; Straker, 1995).</w:t>
      </w:r>
      <w:r w:rsidR="00C94FDD" w:rsidRPr="00152EC5">
        <w:t xml:space="preserve"> Thirty-five</w:t>
      </w:r>
      <w:r w:rsidR="00126831" w:rsidRPr="00152EC5">
        <w:t xml:space="preserve"> employees actively participated in the brainstorming sessions</w:t>
      </w:r>
      <w:r w:rsidR="0075553E" w:rsidRPr="00152EC5">
        <w:t xml:space="preserve"> and</w:t>
      </w:r>
      <w:r w:rsidR="00126831" w:rsidRPr="00152EC5">
        <w:t xml:space="preserve"> </w:t>
      </w:r>
      <w:r w:rsidR="00B90052" w:rsidRPr="00152EC5">
        <w:t>completed</w:t>
      </w:r>
      <w:r w:rsidR="00126831" w:rsidRPr="00152EC5">
        <w:t xml:space="preserve"> the survey questionnaires.</w:t>
      </w:r>
      <w:bookmarkStart w:id="0" w:name="_GoBack"/>
      <w:bookmarkEnd w:id="0"/>
    </w:p>
    <w:p w14:paraId="5296E6F7" w14:textId="77777777" w:rsidR="00452376" w:rsidRPr="00BD7DD4" w:rsidRDefault="00452376" w:rsidP="00305699">
      <w:pPr>
        <w:pStyle w:val="CETBodytext"/>
        <w:rPr>
          <w:sz w:val="20"/>
        </w:rPr>
      </w:pPr>
    </w:p>
    <w:p w14:paraId="022777DD" w14:textId="760D8DC6" w:rsidR="00662EB6" w:rsidRDefault="00CA76F5" w:rsidP="00253617">
      <w:pPr>
        <w:pStyle w:val="CETBodytext"/>
        <w:jc w:val="center"/>
        <w:rPr>
          <w:lang w:val="es-CO"/>
        </w:rPr>
      </w:pPr>
      <w:r>
        <w:object w:dxaOrig="7396" w:dyaOrig="3556" w14:anchorId="1EE4A1FD">
          <v:shape id="_x0000_i1026" type="#_x0000_t75" style="width:407.45pt;height:195.6pt" o:ole="">
            <v:imagedata r:id="rId14" o:title=""/>
          </v:shape>
          <o:OLEObject Type="Embed" ProgID="Visio.Drawing.15" ShapeID="_x0000_i1026" DrawAspect="Content" ObjectID="_1709569357" r:id="rId15"/>
        </w:object>
      </w:r>
    </w:p>
    <w:p w14:paraId="623CA293" w14:textId="10EAC852" w:rsidR="00B21FFA" w:rsidRDefault="00EF0561">
      <w:pPr>
        <w:pStyle w:val="CETCaption"/>
      </w:pPr>
      <w:r w:rsidRPr="002E0D4E">
        <w:t xml:space="preserve">Figure </w:t>
      </w:r>
      <w:r>
        <w:t>3</w:t>
      </w:r>
      <w:r w:rsidR="008C7439">
        <w:t>:</w:t>
      </w:r>
      <w:r>
        <w:t xml:space="preserve"> </w:t>
      </w:r>
      <w:r w:rsidRPr="00FD07CC">
        <w:t>Affinity Diagram for Environmental Risks and Occupational Safety and Health for the production of desktop computers</w:t>
      </w:r>
    </w:p>
    <w:p w14:paraId="4B35DDB5" w14:textId="77777777" w:rsidR="00B21FFA" w:rsidRPr="00BD7DD4" w:rsidRDefault="00EF0561">
      <w:pPr>
        <w:pStyle w:val="CETHeading1"/>
        <w:numPr>
          <w:ilvl w:val="0"/>
          <w:numId w:val="0"/>
        </w:numPr>
      </w:pPr>
      <w:r w:rsidRPr="00BD7DD4">
        <w:t xml:space="preserve">3.3 Corrective action analysis </w:t>
      </w:r>
    </w:p>
    <w:p w14:paraId="7868D05A" w14:textId="7D8A01C6" w:rsidR="000A68CB" w:rsidRDefault="001B4ED6">
      <w:pPr>
        <w:pStyle w:val="CETBodytext"/>
      </w:pPr>
      <w:r w:rsidRPr="001B4ED6">
        <w:t xml:space="preserve">The industries of household appliances studied must apply corrective actions in all anomalous situations found to stop generating negative impacts on workers' health and environmental impacts. On the other hand, the not correction will increase distancing them from the possibility of demonstrating better </w:t>
      </w:r>
      <w:r w:rsidR="0075553E">
        <w:t>ecological and occupational</w:t>
      </w:r>
      <w:r w:rsidRPr="001B4ED6">
        <w:t xml:space="preserve"> performance and thus </w:t>
      </w:r>
      <w:r w:rsidR="0075553E">
        <w:t>achieving</w:t>
      </w:r>
      <w:r w:rsidRPr="001B4ED6">
        <w:t xml:space="preserve"> certifications of international standards. To correct this situation was necessary to develop a Failure Mode Analysis and the effects of the process (Fernandez, 2019). </w:t>
      </w:r>
    </w:p>
    <w:p w14:paraId="7F5F164C" w14:textId="77777777" w:rsidR="000A68CB" w:rsidRDefault="000A68CB">
      <w:pPr>
        <w:pStyle w:val="CETBodytext"/>
      </w:pPr>
    </w:p>
    <w:p w14:paraId="767DC9FA" w14:textId="32730AEE" w:rsidR="001B4ED6" w:rsidRPr="00BD7DD4" w:rsidRDefault="001B4ED6">
      <w:pPr>
        <w:pStyle w:val="CETBodytext"/>
      </w:pPr>
      <w:r w:rsidRPr="001B4ED6">
        <w:t>Table 1 presents the FMEA performed for desktop computers' manufacturing and assembly process. For calculating the risk priority number RPN, the following scale includes 1 to 3 low, 4 to 6 medium, 7 to 9, high</w:t>
      </w:r>
      <w:r w:rsidR="0075553E">
        <w:t>,</w:t>
      </w:r>
      <w:r w:rsidRPr="001B4ED6">
        <w:t xml:space="preserve"> and 10, extreme. The RPN multiples each failure mode and effect's severity, occurrence, and detection rating.</w:t>
      </w:r>
    </w:p>
    <w:p w14:paraId="1E099C43" w14:textId="7783A8AC" w:rsidR="00B21FFA" w:rsidRPr="00BD7DD4" w:rsidRDefault="00EF0561">
      <w:pPr>
        <w:pStyle w:val="CETTabletitle"/>
        <w:jc w:val="both"/>
        <w:rPr>
          <w:lang w:val="en-US"/>
        </w:rPr>
      </w:pPr>
      <w:r w:rsidRPr="00BD7DD4">
        <w:rPr>
          <w:lang w:val="en-US"/>
        </w:rPr>
        <w:t>Table 1</w:t>
      </w:r>
      <w:r w:rsidR="008C7439">
        <w:rPr>
          <w:lang w:val="en-US"/>
        </w:rPr>
        <w:t>:</w:t>
      </w:r>
      <w:r w:rsidRPr="00BD7DD4">
        <w:rPr>
          <w:lang w:val="en-US"/>
        </w:rPr>
        <w:t xml:space="preserve"> Failure Mode and Effects Analysis (FMEA) </w:t>
      </w:r>
      <w:r w:rsidR="0085204F" w:rsidRPr="00BD7DD4">
        <w:rPr>
          <w:lang w:val="en-US"/>
        </w:rPr>
        <w:t>desktop computer manufacturing and assembly process</w:t>
      </w:r>
    </w:p>
    <w:tbl>
      <w:tblPr>
        <w:tblW w:w="886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902"/>
        <w:gridCol w:w="1588"/>
        <w:gridCol w:w="1701"/>
        <w:gridCol w:w="709"/>
        <w:gridCol w:w="1083"/>
        <w:gridCol w:w="903"/>
        <w:gridCol w:w="707"/>
      </w:tblGrid>
      <w:tr w:rsidR="001D458D" w:rsidRPr="00B57B36" w14:paraId="0E488758" w14:textId="77777777" w:rsidTr="008C7439">
        <w:trPr>
          <w:trHeight w:val="223"/>
        </w:trPr>
        <w:tc>
          <w:tcPr>
            <w:tcW w:w="1276" w:type="dxa"/>
            <w:tcBorders>
              <w:top w:val="single" w:sz="12" w:space="0" w:color="008000"/>
              <w:bottom w:val="single" w:sz="6" w:space="0" w:color="008000"/>
            </w:tcBorders>
            <w:shd w:val="clear" w:color="auto" w:fill="FFFFFF"/>
          </w:tcPr>
          <w:p w14:paraId="71BC7128" w14:textId="77777777" w:rsidR="00B21FFA" w:rsidRDefault="00EF0561">
            <w:pPr>
              <w:pStyle w:val="CETBodytext"/>
              <w:jc w:val="center"/>
              <w:rPr>
                <w:b/>
                <w:lang w:val="es-CO"/>
              </w:rPr>
            </w:pPr>
            <w:proofErr w:type="spellStart"/>
            <w:r w:rsidRPr="004D51D1">
              <w:rPr>
                <w:b/>
                <w:lang w:val="es-CO"/>
              </w:rPr>
              <w:t>Failure</w:t>
            </w:r>
            <w:proofErr w:type="spellEnd"/>
            <w:r w:rsidRPr="004D51D1">
              <w:rPr>
                <w:b/>
                <w:lang w:val="es-CO"/>
              </w:rPr>
              <w:t xml:space="preserve"> </w:t>
            </w:r>
            <w:proofErr w:type="spellStart"/>
            <w:r w:rsidRPr="004D51D1">
              <w:rPr>
                <w:b/>
                <w:lang w:val="es-CO"/>
              </w:rPr>
              <w:t>mode</w:t>
            </w:r>
            <w:proofErr w:type="spellEnd"/>
          </w:p>
        </w:tc>
        <w:tc>
          <w:tcPr>
            <w:tcW w:w="902" w:type="dxa"/>
            <w:tcBorders>
              <w:top w:val="single" w:sz="12" w:space="0" w:color="008000"/>
              <w:bottom w:val="single" w:sz="6" w:space="0" w:color="008000"/>
            </w:tcBorders>
            <w:shd w:val="clear" w:color="auto" w:fill="FFFFFF"/>
          </w:tcPr>
          <w:p w14:paraId="654DFBEC" w14:textId="77777777" w:rsidR="00B21FFA" w:rsidRDefault="00EF0561">
            <w:pPr>
              <w:pStyle w:val="CETBodytext"/>
              <w:jc w:val="center"/>
              <w:rPr>
                <w:b/>
                <w:lang w:val="en-GB"/>
              </w:rPr>
            </w:pPr>
            <w:r w:rsidRPr="004D51D1">
              <w:rPr>
                <w:b/>
                <w:lang w:val="en-GB"/>
              </w:rPr>
              <w:t>Failure</w:t>
            </w:r>
          </w:p>
          <w:p w14:paraId="7BC67841" w14:textId="77777777" w:rsidR="00B21FFA" w:rsidRDefault="00EF0561">
            <w:pPr>
              <w:pStyle w:val="CETBodytext"/>
              <w:jc w:val="center"/>
              <w:rPr>
                <w:b/>
                <w:lang w:val="en-GB"/>
              </w:rPr>
            </w:pPr>
            <w:r w:rsidRPr="004D51D1">
              <w:rPr>
                <w:b/>
                <w:lang w:val="en-GB"/>
              </w:rPr>
              <w:t>Effect</w:t>
            </w:r>
          </w:p>
        </w:tc>
        <w:tc>
          <w:tcPr>
            <w:tcW w:w="1588" w:type="dxa"/>
            <w:tcBorders>
              <w:top w:val="single" w:sz="12" w:space="0" w:color="008000"/>
              <w:bottom w:val="single" w:sz="6" w:space="0" w:color="008000"/>
            </w:tcBorders>
            <w:shd w:val="clear" w:color="auto" w:fill="FFFFFF"/>
          </w:tcPr>
          <w:p w14:paraId="0800488F" w14:textId="77777777" w:rsidR="00B21FFA" w:rsidRDefault="00EF0561">
            <w:pPr>
              <w:pStyle w:val="CETBodytext"/>
              <w:jc w:val="center"/>
              <w:rPr>
                <w:b/>
                <w:lang w:val="en-GB"/>
              </w:rPr>
            </w:pPr>
            <w:r w:rsidRPr="004D51D1">
              <w:rPr>
                <w:b/>
                <w:lang w:val="en-GB"/>
              </w:rPr>
              <w:t>Causes</w:t>
            </w:r>
          </w:p>
        </w:tc>
        <w:tc>
          <w:tcPr>
            <w:tcW w:w="1701" w:type="dxa"/>
            <w:tcBorders>
              <w:top w:val="single" w:sz="12" w:space="0" w:color="008000"/>
              <w:bottom w:val="single" w:sz="6" w:space="0" w:color="008000"/>
            </w:tcBorders>
            <w:shd w:val="clear" w:color="auto" w:fill="FFFFFF"/>
          </w:tcPr>
          <w:p w14:paraId="0DEC3BA4" w14:textId="77777777" w:rsidR="00B21FFA" w:rsidRDefault="00EF0561">
            <w:pPr>
              <w:pStyle w:val="CETBodytext"/>
              <w:ind w:left="333" w:right="-1" w:hanging="333"/>
              <w:jc w:val="center"/>
              <w:rPr>
                <w:b/>
                <w:lang w:val="en-GB"/>
              </w:rPr>
            </w:pPr>
            <w:r w:rsidRPr="004D51D1">
              <w:rPr>
                <w:b/>
                <w:lang w:val="en-GB"/>
              </w:rPr>
              <w:t xml:space="preserve">Proposed </w:t>
            </w:r>
          </w:p>
          <w:p w14:paraId="3AB8C411" w14:textId="77777777" w:rsidR="00B21FFA" w:rsidRDefault="00EF0561">
            <w:pPr>
              <w:pStyle w:val="CETBodytext"/>
              <w:ind w:left="333" w:right="-1" w:hanging="333"/>
              <w:jc w:val="center"/>
              <w:rPr>
                <w:b/>
                <w:lang w:val="en-GB"/>
              </w:rPr>
            </w:pPr>
            <w:r w:rsidRPr="004D51D1">
              <w:rPr>
                <w:b/>
                <w:lang w:val="en-GB"/>
              </w:rPr>
              <w:t>control</w:t>
            </w:r>
          </w:p>
        </w:tc>
        <w:tc>
          <w:tcPr>
            <w:tcW w:w="709" w:type="dxa"/>
            <w:tcBorders>
              <w:top w:val="single" w:sz="12" w:space="0" w:color="008000"/>
              <w:bottom w:val="single" w:sz="6" w:space="0" w:color="008000"/>
            </w:tcBorders>
            <w:shd w:val="clear" w:color="auto" w:fill="FFFFFF"/>
          </w:tcPr>
          <w:p w14:paraId="5D469093" w14:textId="77777777" w:rsidR="00B21FFA" w:rsidRDefault="00EF0561">
            <w:pPr>
              <w:pStyle w:val="CETBodytext"/>
              <w:ind w:left="296" w:right="-1" w:hanging="296"/>
              <w:jc w:val="center"/>
              <w:rPr>
                <w:b/>
                <w:lang w:val="en-GB"/>
              </w:rPr>
            </w:pPr>
            <w:r w:rsidRPr="004D51D1">
              <w:rPr>
                <w:b/>
                <w:lang w:val="en-GB"/>
              </w:rPr>
              <w:t>Severity</w:t>
            </w:r>
          </w:p>
        </w:tc>
        <w:tc>
          <w:tcPr>
            <w:tcW w:w="1083" w:type="dxa"/>
            <w:tcBorders>
              <w:top w:val="single" w:sz="12" w:space="0" w:color="008000"/>
              <w:bottom w:val="single" w:sz="6" w:space="0" w:color="008000"/>
            </w:tcBorders>
            <w:shd w:val="clear" w:color="auto" w:fill="FFFFFF"/>
          </w:tcPr>
          <w:p w14:paraId="77252D6B" w14:textId="77777777" w:rsidR="00B21FFA" w:rsidRDefault="00EF0561">
            <w:pPr>
              <w:pStyle w:val="CETBodytext"/>
              <w:ind w:right="-1"/>
              <w:jc w:val="center"/>
              <w:rPr>
                <w:b/>
                <w:lang w:val="en-GB"/>
              </w:rPr>
            </w:pPr>
            <w:r w:rsidRPr="004D51D1">
              <w:rPr>
                <w:b/>
                <w:lang w:val="en-GB"/>
              </w:rPr>
              <w:t>Occurrence</w:t>
            </w:r>
          </w:p>
        </w:tc>
        <w:tc>
          <w:tcPr>
            <w:tcW w:w="903" w:type="dxa"/>
            <w:tcBorders>
              <w:top w:val="single" w:sz="12" w:space="0" w:color="008000"/>
              <w:bottom w:val="single" w:sz="6" w:space="0" w:color="008000"/>
            </w:tcBorders>
            <w:shd w:val="clear" w:color="auto" w:fill="FFFFFF"/>
          </w:tcPr>
          <w:p w14:paraId="684C4FCA" w14:textId="77777777" w:rsidR="00B21FFA" w:rsidRDefault="00EF0561">
            <w:pPr>
              <w:pStyle w:val="CETBodytext"/>
              <w:ind w:right="-1"/>
              <w:jc w:val="center"/>
              <w:rPr>
                <w:rFonts w:cs="Arial"/>
                <w:b/>
                <w:szCs w:val="18"/>
                <w:lang w:val="en-GB"/>
              </w:rPr>
            </w:pPr>
            <w:r w:rsidRPr="004D51D1">
              <w:rPr>
                <w:rFonts w:cs="Arial"/>
                <w:b/>
                <w:szCs w:val="18"/>
                <w:lang w:val="en-GB"/>
              </w:rPr>
              <w:t>Detection</w:t>
            </w:r>
          </w:p>
        </w:tc>
        <w:tc>
          <w:tcPr>
            <w:tcW w:w="707" w:type="dxa"/>
            <w:tcBorders>
              <w:top w:val="single" w:sz="12" w:space="0" w:color="008000"/>
              <w:bottom w:val="single" w:sz="6" w:space="0" w:color="008000"/>
            </w:tcBorders>
            <w:shd w:val="clear" w:color="auto" w:fill="FFFFFF"/>
          </w:tcPr>
          <w:p w14:paraId="529DE434" w14:textId="77777777" w:rsidR="00B21FFA" w:rsidRDefault="00EF0561">
            <w:pPr>
              <w:pStyle w:val="CETBodytext"/>
              <w:ind w:right="-1"/>
              <w:jc w:val="center"/>
              <w:rPr>
                <w:rFonts w:cs="Arial"/>
                <w:b/>
                <w:szCs w:val="18"/>
                <w:lang w:val="en-GB"/>
              </w:rPr>
            </w:pPr>
            <w:r w:rsidRPr="004D51D1">
              <w:rPr>
                <w:rFonts w:cs="Arial"/>
                <w:b/>
                <w:szCs w:val="18"/>
                <w:lang w:val="en-GB"/>
              </w:rPr>
              <w:t>Risk Priority Number</w:t>
            </w:r>
          </w:p>
        </w:tc>
      </w:tr>
      <w:tr w:rsidR="008A55CA" w:rsidRPr="00B57B36" w14:paraId="507BAAA7"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0F7CF664" w14:textId="77777777" w:rsidR="00B21FFA" w:rsidRDefault="00EF0561">
            <w:pPr>
              <w:pStyle w:val="CETBodytext"/>
              <w:rPr>
                <w:b/>
                <w:lang w:val="es-CO"/>
              </w:rPr>
            </w:pPr>
            <w:r w:rsidRPr="004D51D1">
              <w:rPr>
                <w:lang w:val="en-GB"/>
              </w:rPr>
              <w:t>Equipment generated noise</w:t>
            </w:r>
          </w:p>
        </w:tc>
        <w:tc>
          <w:tcPr>
            <w:tcW w:w="902" w:type="dxa"/>
            <w:tcBorders>
              <w:top w:val="single" w:sz="12" w:space="0" w:color="008000"/>
              <w:bottom w:val="single" w:sz="6" w:space="0" w:color="008000"/>
            </w:tcBorders>
            <w:shd w:val="clear" w:color="auto" w:fill="FFFFFF"/>
            <w:vAlign w:val="center"/>
          </w:tcPr>
          <w:p w14:paraId="48050F61" w14:textId="77777777" w:rsidR="00B21FFA" w:rsidRDefault="00EF0561">
            <w:pPr>
              <w:pStyle w:val="CETBodytext"/>
              <w:jc w:val="center"/>
              <w:rPr>
                <w:b/>
                <w:lang w:val="en-GB"/>
              </w:rPr>
            </w:pPr>
            <w:proofErr w:type="spellStart"/>
            <w:r w:rsidRPr="004D51D1">
              <w:rPr>
                <w:lang w:val="es-CO"/>
              </w:rPr>
              <w:t>Noise</w:t>
            </w:r>
            <w:proofErr w:type="spellEnd"/>
            <w:r w:rsidRPr="004D51D1">
              <w:rPr>
                <w:lang w:val="es-CO"/>
              </w:rPr>
              <w:t xml:space="preserve"> </w:t>
            </w:r>
            <w:proofErr w:type="spellStart"/>
            <w:r w:rsidRPr="004D51D1">
              <w:rPr>
                <w:lang w:val="es-CO"/>
              </w:rPr>
              <w:t>pollution</w:t>
            </w:r>
            <w:proofErr w:type="spellEnd"/>
          </w:p>
        </w:tc>
        <w:tc>
          <w:tcPr>
            <w:tcW w:w="1588" w:type="dxa"/>
            <w:tcBorders>
              <w:top w:val="single" w:sz="12" w:space="0" w:color="008000"/>
              <w:bottom w:val="single" w:sz="6" w:space="0" w:color="008000"/>
            </w:tcBorders>
            <w:shd w:val="clear" w:color="auto" w:fill="FFFFFF"/>
            <w:vAlign w:val="center"/>
          </w:tcPr>
          <w:p w14:paraId="052BC6CC" w14:textId="354647D7" w:rsidR="00B21FFA" w:rsidRDefault="0075553E">
            <w:pPr>
              <w:pStyle w:val="CETBodytext"/>
              <w:ind w:left="171"/>
              <w:rPr>
                <w:b/>
                <w:lang w:val="en-GB"/>
              </w:rPr>
            </w:pPr>
            <w:r>
              <w:t>Adverse</w:t>
            </w:r>
            <w:r w:rsidR="00EF0561" w:rsidRPr="004D51D1">
              <w:t xml:space="preserve"> effects on the physical, mental</w:t>
            </w:r>
            <w:r>
              <w:t>,</w:t>
            </w:r>
            <w:r w:rsidR="00EF0561" w:rsidRPr="004D51D1">
              <w:t xml:space="preserve"> and hearing health of the operators.</w:t>
            </w:r>
          </w:p>
        </w:tc>
        <w:tc>
          <w:tcPr>
            <w:tcW w:w="1701" w:type="dxa"/>
            <w:tcBorders>
              <w:top w:val="single" w:sz="12" w:space="0" w:color="008000"/>
              <w:bottom w:val="single" w:sz="6" w:space="0" w:color="008000"/>
            </w:tcBorders>
            <w:shd w:val="clear" w:color="auto" w:fill="FFFFFF"/>
          </w:tcPr>
          <w:p w14:paraId="7B762951" w14:textId="77777777" w:rsidR="00B21FFA" w:rsidRDefault="00EF0561">
            <w:pPr>
              <w:pStyle w:val="CETBodytext"/>
              <w:ind w:left="282" w:right="-1"/>
              <w:rPr>
                <w:b/>
                <w:lang w:val="en-GB"/>
              </w:rPr>
            </w:pPr>
            <w:r>
              <w:t xml:space="preserve">To </w:t>
            </w:r>
            <w:r w:rsidRPr="004D51D1">
              <w:t>use corresponding protective equipment. Maintenance in noise control.</w:t>
            </w:r>
          </w:p>
        </w:tc>
        <w:tc>
          <w:tcPr>
            <w:tcW w:w="709" w:type="dxa"/>
            <w:tcBorders>
              <w:top w:val="single" w:sz="12" w:space="0" w:color="008000"/>
              <w:bottom w:val="single" w:sz="6" w:space="0" w:color="008000"/>
            </w:tcBorders>
            <w:shd w:val="clear" w:color="auto" w:fill="FFFFFF"/>
          </w:tcPr>
          <w:p w14:paraId="7F1C04E1" w14:textId="77777777" w:rsidR="00B21FFA" w:rsidRDefault="00EF0561">
            <w:pPr>
              <w:pStyle w:val="CETBodytext"/>
              <w:ind w:left="296" w:right="-1" w:hanging="296"/>
              <w:jc w:val="center"/>
              <w:rPr>
                <w:b/>
                <w:lang w:val="en-GB"/>
              </w:rPr>
            </w:pPr>
            <w:r>
              <w:t>5</w:t>
            </w:r>
          </w:p>
        </w:tc>
        <w:tc>
          <w:tcPr>
            <w:tcW w:w="1083" w:type="dxa"/>
            <w:tcBorders>
              <w:top w:val="single" w:sz="12" w:space="0" w:color="008000"/>
              <w:bottom w:val="single" w:sz="6" w:space="0" w:color="008000"/>
            </w:tcBorders>
            <w:shd w:val="clear" w:color="auto" w:fill="FFFFFF"/>
          </w:tcPr>
          <w:p w14:paraId="70F420B3" w14:textId="77777777" w:rsidR="00B21FFA" w:rsidRDefault="00EF0561">
            <w:pPr>
              <w:pStyle w:val="CETBodytext"/>
              <w:ind w:right="-1"/>
              <w:jc w:val="center"/>
              <w:rPr>
                <w:b/>
                <w:lang w:val="en-GB"/>
              </w:rPr>
            </w:pPr>
            <w:r>
              <w:t>6</w:t>
            </w:r>
          </w:p>
        </w:tc>
        <w:tc>
          <w:tcPr>
            <w:tcW w:w="903" w:type="dxa"/>
            <w:tcBorders>
              <w:top w:val="single" w:sz="12" w:space="0" w:color="008000"/>
              <w:bottom w:val="single" w:sz="6" w:space="0" w:color="008000"/>
            </w:tcBorders>
            <w:shd w:val="clear" w:color="auto" w:fill="FFFFFF"/>
          </w:tcPr>
          <w:p w14:paraId="609761B2" w14:textId="77777777" w:rsidR="00B21FFA" w:rsidRDefault="00EF0561">
            <w:pPr>
              <w:pStyle w:val="CETBodytext"/>
              <w:ind w:right="-1"/>
              <w:jc w:val="center"/>
              <w:rPr>
                <w:rFonts w:cs="Arial"/>
                <w:b/>
                <w:szCs w:val="18"/>
                <w:lang w:val="en-GB"/>
              </w:rPr>
            </w:pPr>
            <w:r>
              <w:rPr>
                <w:rFonts w:cs="Arial"/>
                <w:szCs w:val="18"/>
              </w:rPr>
              <w:t>5</w:t>
            </w:r>
          </w:p>
        </w:tc>
        <w:tc>
          <w:tcPr>
            <w:tcW w:w="707" w:type="dxa"/>
            <w:tcBorders>
              <w:top w:val="single" w:sz="12" w:space="0" w:color="008000"/>
              <w:bottom w:val="single" w:sz="6" w:space="0" w:color="008000"/>
            </w:tcBorders>
            <w:shd w:val="clear" w:color="auto" w:fill="FFFFFF"/>
            <w:vAlign w:val="center"/>
          </w:tcPr>
          <w:p w14:paraId="2A8BCE72" w14:textId="77777777" w:rsidR="00B21FFA" w:rsidRDefault="00EF0561">
            <w:pPr>
              <w:pStyle w:val="CETBodytext"/>
              <w:ind w:right="-1"/>
              <w:jc w:val="center"/>
              <w:rPr>
                <w:rFonts w:cs="Arial"/>
                <w:b/>
                <w:szCs w:val="18"/>
                <w:lang w:val="en-GB"/>
              </w:rPr>
            </w:pPr>
            <w:r>
              <w:rPr>
                <w:rFonts w:cs="Arial"/>
                <w:szCs w:val="18"/>
              </w:rPr>
              <w:t>150</w:t>
            </w:r>
          </w:p>
        </w:tc>
      </w:tr>
      <w:tr w:rsidR="008A55CA" w:rsidRPr="00B57B36" w14:paraId="58175D70"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334EAE32" w14:textId="77777777" w:rsidR="00B21FFA" w:rsidRDefault="00EF0561">
            <w:pPr>
              <w:pStyle w:val="CETBodytext"/>
              <w:rPr>
                <w:lang w:val="en-GB"/>
              </w:rPr>
            </w:pPr>
            <w:r w:rsidRPr="004D51D1">
              <w:rPr>
                <w:lang w:val="en-GB"/>
              </w:rPr>
              <w:lastRenderedPageBreak/>
              <w:t>Consumption of raw materials and inputs</w:t>
            </w:r>
          </w:p>
        </w:tc>
        <w:tc>
          <w:tcPr>
            <w:tcW w:w="902" w:type="dxa"/>
            <w:tcBorders>
              <w:top w:val="single" w:sz="12" w:space="0" w:color="008000"/>
              <w:bottom w:val="single" w:sz="6" w:space="0" w:color="008000"/>
            </w:tcBorders>
            <w:shd w:val="clear" w:color="auto" w:fill="FFFFFF"/>
            <w:vAlign w:val="center"/>
          </w:tcPr>
          <w:p w14:paraId="6C7D92B9" w14:textId="77777777" w:rsidR="00B21FFA" w:rsidRDefault="00EF0561">
            <w:pPr>
              <w:pStyle w:val="CETBodytext"/>
              <w:jc w:val="center"/>
              <w:rPr>
                <w:lang w:val="es-CO"/>
              </w:rPr>
            </w:pPr>
            <w:r w:rsidRPr="004D51D1">
              <w:t>Use of natural resources</w:t>
            </w:r>
          </w:p>
        </w:tc>
        <w:tc>
          <w:tcPr>
            <w:tcW w:w="1588" w:type="dxa"/>
            <w:tcBorders>
              <w:top w:val="single" w:sz="12" w:space="0" w:color="008000"/>
              <w:bottom w:val="single" w:sz="6" w:space="0" w:color="008000"/>
            </w:tcBorders>
            <w:shd w:val="clear" w:color="auto" w:fill="FFFFFF"/>
            <w:vAlign w:val="center"/>
          </w:tcPr>
          <w:p w14:paraId="2872A5E4" w14:textId="77777777" w:rsidR="00B21FFA" w:rsidRDefault="00EF0561">
            <w:pPr>
              <w:pStyle w:val="CETBodytext"/>
              <w:ind w:left="171"/>
            </w:pPr>
            <w:r w:rsidRPr="004D51D1">
              <w:t>Depletion of natural resources</w:t>
            </w:r>
          </w:p>
        </w:tc>
        <w:tc>
          <w:tcPr>
            <w:tcW w:w="1701" w:type="dxa"/>
            <w:tcBorders>
              <w:top w:val="single" w:sz="12" w:space="0" w:color="008000"/>
              <w:bottom w:val="single" w:sz="6" w:space="0" w:color="008000"/>
            </w:tcBorders>
            <w:shd w:val="clear" w:color="auto" w:fill="FFFFFF"/>
          </w:tcPr>
          <w:p w14:paraId="5152D7D8" w14:textId="77777777" w:rsidR="00B21FFA" w:rsidRDefault="00EF0561">
            <w:pPr>
              <w:pStyle w:val="CETBodytext"/>
              <w:ind w:left="282" w:right="-1"/>
            </w:pPr>
            <w:r>
              <w:t xml:space="preserve">To </w:t>
            </w:r>
            <w:r w:rsidRPr="004D51D1">
              <w:t>buy raw materials that help conserve natural resources.</w:t>
            </w:r>
          </w:p>
        </w:tc>
        <w:tc>
          <w:tcPr>
            <w:tcW w:w="709" w:type="dxa"/>
            <w:tcBorders>
              <w:top w:val="single" w:sz="12" w:space="0" w:color="008000"/>
              <w:bottom w:val="single" w:sz="6" w:space="0" w:color="008000"/>
            </w:tcBorders>
            <w:shd w:val="clear" w:color="auto" w:fill="FFFFFF"/>
          </w:tcPr>
          <w:p w14:paraId="722F6643" w14:textId="77777777" w:rsidR="00B21FFA" w:rsidRDefault="00EF0561">
            <w:pPr>
              <w:pStyle w:val="CETBodytext"/>
              <w:ind w:left="296" w:right="-1" w:hanging="296"/>
              <w:jc w:val="center"/>
            </w:pPr>
            <w:r>
              <w:t>8</w:t>
            </w:r>
          </w:p>
        </w:tc>
        <w:tc>
          <w:tcPr>
            <w:tcW w:w="1083" w:type="dxa"/>
            <w:tcBorders>
              <w:top w:val="single" w:sz="12" w:space="0" w:color="008000"/>
              <w:bottom w:val="single" w:sz="6" w:space="0" w:color="008000"/>
            </w:tcBorders>
            <w:shd w:val="clear" w:color="auto" w:fill="FFFFFF"/>
          </w:tcPr>
          <w:p w14:paraId="1F730EA7" w14:textId="77777777" w:rsidR="00B21FFA" w:rsidRDefault="00EF0561">
            <w:pPr>
              <w:pStyle w:val="CETBodytext"/>
              <w:ind w:right="-1"/>
              <w:jc w:val="center"/>
            </w:pPr>
            <w:r>
              <w:t>8</w:t>
            </w:r>
          </w:p>
        </w:tc>
        <w:tc>
          <w:tcPr>
            <w:tcW w:w="903" w:type="dxa"/>
            <w:tcBorders>
              <w:top w:val="single" w:sz="12" w:space="0" w:color="008000"/>
              <w:bottom w:val="single" w:sz="6" w:space="0" w:color="008000"/>
            </w:tcBorders>
            <w:shd w:val="clear" w:color="auto" w:fill="FFFFFF"/>
          </w:tcPr>
          <w:p w14:paraId="1C05EF51" w14:textId="77777777" w:rsidR="00B21FFA" w:rsidRDefault="00EF0561">
            <w:pPr>
              <w:pStyle w:val="CETBodytext"/>
              <w:ind w:right="-1"/>
              <w:jc w:val="center"/>
              <w:rPr>
                <w:rFonts w:cs="Arial"/>
                <w:szCs w:val="18"/>
              </w:rPr>
            </w:pPr>
            <w:r>
              <w:t>7</w:t>
            </w:r>
          </w:p>
        </w:tc>
        <w:tc>
          <w:tcPr>
            <w:tcW w:w="707" w:type="dxa"/>
            <w:tcBorders>
              <w:top w:val="single" w:sz="12" w:space="0" w:color="008000"/>
              <w:bottom w:val="single" w:sz="6" w:space="0" w:color="008000"/>
            </w:tcBorders>
            <w:shd w:val="clear" w:color="auto" w:fill="FFFFFF"/>
            <w:vAlign w:val="center"/>
          </w:tcPr>
          <w:p w14:paraId="2ABAB751" w14:textId="77777777" w:rsidR="00B21FFA" w:rsidRDefault="00EF0561">
            <w:pPr>
              <w:pStyle w:val="CETBodytext"/>
              <w:ind w:right="-1"/>
              <w:jc w:val="center"/>
              <w:rPr>
                <w:rFonts w:cs="Arial"/>
                <w:szCs w:val="18"/>
              </w:rPr>
            </w:pPr>
            <w:r>
              <w:t>448</w:t>
            </w:r>
          </w:p>
        </w:tc>
      </w:tr>
      <w:tr w:rsidR="008A55CA" w:rsidRPr="00B57B36" w14:paraId="7D887BAE"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136888AD" w14:textId="77777777" w:rsidR="00B21FFA" w:rsidRDefault="00EF0561">
            <w:pPr>
              <w:pStyle w:val="CETBodytext"/>
              <w:rPr>
                <w:lang w:val="en-GB"/>
              </w:rPr>
            </w:pPr>
            <w:r w:rsidRPr="004D51D1">
              <w:rPr>
                <w:lang w:val="en-GB"/>
              </w:rPr>
              <w:t>Water consumption</w:t>
            </w:r>
          </w:p>
        </w:tc>
        <w:tc>
          <w:tcPr>
            <w:tcW w:w="902" w:type="dxa"/>
            <w:tcBorders>
              <w:top w:val="single" w:sz="12" w:space="0" w:color="008000"/>
              <w:bottom w:val="single" w:sz="6" w:space="0" w:color="008000"/>
            </w:tcBorders>
            <w:shd w:val="clear" w:color="auto" w:fill="FFFFFF"/>
            <w:vAlign w:val="center"/>
          </w:tcPr>
          <w:p w14:paraId="2C501969" w14:textId="77777777" w:rsidR="00B21FFA" w:rsidRDefault="00EF0561">
            <w:pPr>
              <w:pStyle w:val="CETBodytext"/>
              <w:jc w:val="center"/>
            </w:pPr>
            <w:r w:rsidRPr="004D51D1">
              <w:t>Use of natural resources</w:t>
            </w:r>
          </w:p>
        </w:tc>
        <w:tc>
          <w:tcPr>
            <w:tcW w:w="1588" w:type="dxa"/>
            <w:tcBorders>
              <w:top w:val="single" w:sz="12" w:space="0" w:color="008000"/>
              <w:bottom w:val="single" w:sz="6" w:space="0" w:color="008000"/>
            </w:tcBorders>
            <w:shd w:val="clear" w:color="auto" w:fill="FFFFFF"/>
            <w:vAlign w:val="center"/>
          </w:tcPr>
          <w:p w14:paraId="17EB8C57" w14:textId="77777777" w:rsidR="00B21FFA" w:rsidRDefault="00EF0561">
            <w:pPr>
              <w:pStyle w:val="CETBodytext"/>
              <w:ind w:left="171"/>
            </w:pPr>
            <w:r w:rsidRPr="004D51D1">
              <w:t>Depletion of natural resources</w:t>
            </w:r>
          </w:p>
        </w:tc>
        <w:tc>
          <w:tcPr>
            <w:tcW w:w="1701" w:type="dxa"/>
            <w:tcBorders>
              <w:top w:val="single" w:sz="12" w:space="0" w:color="008000"/>
              <w:bottom w:val="single" w:sz="6" w:space="0" w:color="008000"/>
            </w:tcBorders>
            <w:shd w:val="clear" w:color="auto" w:fill="FFFFFF"/>
          </w:tcPr>
          <w:p w14:paraId="4273AC1D" w14:textId="16E31AD5" w:rsidR="00B21FFA" w:rsidRDefault="0075553E">
            <w:pPr>
              <w:pStyle w:val="CETBodytext"/>
              <w:ind w:left="282" w:right="-1"/>
            </w:pPr>
            <w:r>
              <w:t>Water-saving</w:t>
            </w:r>
            <w:r w:rsidR="00EF0561" w:rsidRPr="001D458D">
              <w:t xml:space="preserve"> and efficient use program</w:t>
            </w:r>
          </w:p>
        </w:tc>
        <w:tc>
          <w:tcPr>
            <w:tcW w:w="709" w:type="dxa"/>
            <w:tcBorders>
              <w:top w:val="single" w:sz="12" w:space="0" w:color="008000"/>
              <w:bottom w:val="single" w:sz="6" w:space="0" w:color="008000"/>
            </w:tcBorders>
            <w:shd w:val="clear" w:color="auto" w:fill="FFFFFF"/>
          </w:tcPr>
          <w:p w14:paraId="6A9EAB73" w14:textId="77777777" w:rsidR="00B21FFA" w:rsidRDefault="00EF0561">
            <w:pPr>
              <w:pStyle w:val="CETBodytext"/>
              <w:ind w:left="296" w:right="-1" w:hanging="296"/>
              <w:jc w:val="center"/>
            </w:pPr>
            <w:r>
              <w:t>4</w:t>
            </w:r>
          </w:p>
        </w:tc>
        <w:tc>
          <w:tcPr>
            <w:tcW w:w="1083" w:type="dxa"/>
            <w:tcBorders>
              <w:top w:val="single" w:sz="12" w:space="0" w:color="008000"/>
              <w:bottom w:val="single" w:sz="6" w:space="0" w:color="008000"/>
            </w:tcBorders>
            <w:shd w:val="clear" w:color="auto" w:fill="FFFFFF"/>
          </w:tcPr>
          <w:p w14:paraId="64244F97" w14:textId="77777777" w:rsidR="00B21FFA" w:rsidRDefault="00EF0561">
            <w:pPr>
              <w:pStyle w:val="CETBodytext"/>
              <w:ind w:right="-1"/>
              <w:jc w:val="center"/>
            </w:pPr>
            <w:r>
              <w:t>5</w:t>
            </w:r>
          </w:p>
        </w:tc>
        <w:tc>
          <w:tcPr>
            <w:tcW w:w="903" w:type="dxa"/>
            <w:tcBorders>
              <w:top w:val="single" w:sz="12" w:space="0" w:color="008000"/>
              <w:bottom w:val="single" w:sz="6" w:space="0" w:color="008000"/>
            </w:tcBorders>
            <w:shd w:val="clear" w:color="auto" w:fill="FFFFFF"/>
          </w:tcPr>
          <w:p w14:paraId="600E3483" w14:textId="77777777" w:rsidR="00B21FFA" w:rsidRDefault="00EF0561">
            <w:pPr>
              <w:pStyle w:val="CETBodytext"/>
              <w:ind w:right="-1"/>
              <w:jc w:val="center"/>
            </w:pPr>
            <w:r>
              <w:t>3</w:t>
            </w:r>
          </w:p>
        </w:tc>
        <w:tc>
          <w:tcPr>
            <w:tcW w:w="707" w:type="dxa"/>
            <w:tcBorders>
              <w:top w:val="single" w:sz="12" w:space="0" w:color="008000"/>
              <w:bottom w:val="single" w:sz="6" w:space="0" w:color="008000"/>
            </w:tcBorders>
            <w:shd w:val="clear" w:color="auto" w:fill="FFFFFF"/>
            <w:vAlign w:val="center"/>
          </w:tcPr>
          <w:p w14:paraId="1C016B92" w14:textId="77777777" w:rsidR="00B21FFA" w:rsidRDefault="00EF0561">
            <w:pPr>
              <w:pStyle w:val="CETBodytext"/>
              <w:ind w:right="-1"/>
              <w:jc w:val="center"/>
            </w:pPr>
            <w:r>
              <w:t>60</w:t>
            </w:r>
          </w:p>
        </w:tc>
      </w:tr>
      <w:tr w:rsidR="008A55CA" w:rsidRPr="00B57B36" w14:paraId="06BE78FA"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77FDB286" w14:textId="77777777" w:rsidR="00B21FFA" w:rsidRDefault="00EF0561">
            <w:pPr>
              <w:pStyle w:val="CETBodytext"/>
              <w:rPr>
                <w:lang w:val="en-GB"/>
              </w:rPr>
            </w:pPr>
            <w:r w:rsidRPr="001D458D">
              <w:rPr>
                <w:lang w:val="en-GB"/>
              </w:rPr>
              <w:t>Electric power consumption</w:t>
            </w:r>
          </w:p>
        </w:tc>
        <w:tc>
          <w:tcPr>
            <w:tcW w:w="902" w:type="dxa"/>
            <w:tcBorders>
              <w:top w:val="single" w:sz="12" w:space="0" w:color="008000"/>
              <w:bottom w:val="single" w:sz="6" w:space="0" w:color="008000"/>
            </w:tcBorders>
            <w:shd w:val="clear" w:color="auto" w:fill="FFFFFF"/>
            <w:vAlign w:val="center"/>
          </w:tcPr>
          <w:p w14:paraId="5AB6C9AC" w14:textId="77777777" w:rsidR="00B21FFA" w:rsidRDefault="00EF0561">
            <w:pPr>
              <w:pStyle w:val="CETBodytext"/>
              <w:jc w:val="center"/>
            </w:pPr>
            <w:r w:rsidRPr="004D51D1">
              <w:t>Use of natural resources</w:t>
            </w:r>
          </w:p>
        </w:tc>
        <w:tc>
          <w:tcPr>
            <w:tcW w:w="1588" w:type="dxa"/>
            <w:tcBorders>
              <w:top w:val="single" w:sz="12" w:space="0" w:color="008000"/>
              <w:bottom w:val="single" w:sz="6" w:space="0" w:color="008000"/>
            </w:tcBorders>
            <w:shd w:val="clear" w:color="auto" w:fill="FFFFFF"/>
            <w:vAlign w:val="center"/>
          </w:tcPr>
          <w:p w14:paraId="3163A33A" w14:textId="77777777" w:rsidR="00B21FFA" w:rsidRDefault="00EF0561">
            <w:pPr>
              <w:pStyle w:val="CETBodytext"/>
              <w:ind w:left="171"/>
            </w:pPr>
            <w:r w:rsidRPr="004D51D1">
              <w:t>Depletion of natural resources</w:t>
            </w:r>
          </w:p>
        </w:tc>
        <w:tc>
          <w:tcPr>
            <w:tcW w:w="1701" w:type="dxa"/>
            <w:tcBorders>
              <w:top w:val="single" w:sz="12" w:space="0" w:color="008000"/>
              <w:bottom w:val="single" w:sz="6" w:space="0" w:color="008000"/>
            </w:tcBorders>
            <w:shd w:val="clear" w:color="auto" w:fill="FFFFFF"/>
          </w:tcPr>
          <w:p w14:paraId="5679B672" w14:textId="7460271F" w:rsidR="00B21FFA" w:rsidRDefault="0075553E">
            <w:pPr>
              <w:pStyle w:val="CETBodytext"/>
              <w:ind w:left="282" w:right="-1"/>
            </w:pPr>
            <w:r>
              <w:t>Energy-saving</w:t>
            </w:r>
            <w:r w:rsidR="00EF0561" w:rsidRPr="001D458D">
              <w:t xml:space="preserve"> and efficient use program</w:t>
            </w:r>
          </w:p>
        </w:tc>
        <w:tc>
          <w:tcPr>
            <w:tcW w:w="709" w:type="dxa"/>
            <w:tcBorders>
              <w:top w:val="single" w:sz="12" w:space="0" w:color="008000"/>
              <w:bottom w:val="single" w:sz="6" w:space="0" w:color="008000"/>
            </w:tcBorders>
            <w:shd w:val="clear" w:color="auto" w:fill="FFFFFF"/>
          </w:tcPr>
          <w:p w14:paraId="16590D1B" w14:textId="77777777" w:rsidR="00B21FFA" w:rsidRDefault="00EF0561">
            <w:pPr>
              <w:pStyle w:val="CETBodytext"/>
              <w:ind w:left="296" w:right="-1" w:hanging="296"/>
              <w:jc w:val="center"/>
            </w:pPr>
            <w:r>
              <w:t>9</w:t>
            </w:r>
          </w:p>
        </w:tc>
        <w:tc>
          <w:tcPr>
            <w:tcW w:w="1083" w:type="dxa"/>
            <w:tcBorders>
              <w:top w:val="single" w:sz="12" w:space="0" w:color="008000"/>
              <w:bottom w:val="single" w:sz="6" w:space="0" w:color="008000"/>
            </w:tcBorders>
            <w:shd w:val="clear" w:color="auto" w:fill="FFFFFF"/>
          </w:tcPr>
          <w:p w14:paraId="7158888B" w14:textId="77777777" w:rsidR="00B21FFA" w:rsidRDefault="00EF0561">
            <w:pPr>
              <w:pStyle w:val="CETBodytext"/>
              <w:ind w:right="-1"/>
              <w:jc w:val="center"/>
            </w:pPr>
            <w:r>
              <w:t>9</w:t>
            </w:r>
          </w:p>
        </w:tc>
        <w:tc>
          <w:tcPr>
            <w:tcW w:w="903" w:type="dxa"/>
            <w:tcBorders>
              <w:top w:val="single" w:sz="12" w:space="0" w:color="008000"/>
              <w:bottom w:val="single" w:sz="6" w:space="0" w:color="008000"/>
            </w:tcBorders>
            <w:shd w:val="clear" w:color="auto" w:fill="FFFFFF"/>
          </w:tcPr>
          <w:p w14:paraId="6C7B1E20" w14:textId="77777777" w:rsidR="00B21FFA" w:rsidRDefault="00EF0561">
            <w:pPr>
              <w:pStyle w:val="CETBodytext"/>
              <w:ind w:right="-1"/>
              <w:jc w:val="center"/>
            </w:pPr>
            <w:r>
              <w:t>8</w:t>
            </w:r>
          </w:p>
        </w:tc>
        <w:tc>
          <w:tcPr>
            <w:tcW w:w="707" w:type="dxa"/>
            <w:tcBorders>
              <w:top w:val="single" w:sz="12" w:space="0" w:color="008000"/>
              <w:bottom w:val="single" w:sz="6" w:space="0" w:color="008000"/>
            </w:tcBorders>
            <w:shd w:val="clear" w:color="auto" w:fill="FFFFFF"/>
            <w:vAlign w:val="center"/>
          </w:tcPr>
          <w:p w14:paraId="4A3FA58A" w14:textId="77777777" w:rsidR="00B21FFA" w:rsidRDefault="00EF0561">
            <w:pPr>
              <w:pStyle w:val="CETBodytext"/>
              <w:ind w:right="-1"/>
              <w:jc w:val="center"/>
            </w:pPr>
            <w:r>
              <w:t>648</w:t>
            </w:r>
          </w:p>
        </w:tc>
      </w:tr>
      <w:tr w:rsidR="008A55CA" w:rsidRPr="00B57B36" w14:paraId="5DACA826"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5433BA21" w14:textId="27C9BE8F" w:rsidR="00B21FFA" w:rsidRDefault="00EF0561">
            <w:pPr>
              <w:pStyle w:val="CETBodytext"/>
              <w:rPr>
                <w:lang w:val="en-GB"/>
              </w:rPr>
            </w:pPr>
            <w:r w:rsidRPr="001D458D">
              <w:rPr>
                <w:lang w:val="en-GB"/>
              </w:rPr>
              <w:t>Extraction and processing of raw materials (ferrous, non-ferrous, precious</w:t>
            </w:r>
            <w:r w:rsidR="0075553E">
              <w:rPr>
                <w:lang w:val="en-GB"/>
              </w:rPr>
              <w:t>,</w:t>
            </w:r>
            <w:r w:rsidRPr="001D458D">
              <w:rPr>
                <w:lang w:val="en-GB"/>
              </w:rPr>
              <w:t xml:space="preserve"> and plastic metals)</w:t>
            </w:r>
          </w:p>
        </w:tc>
        <w:tc>
          <w:tcPr>
            <w:tcW w:w="902" w:type="dxa"/>
            <w:tcBorders>
              <w:top w:val="single" w:sz="12" w:space="0" w:color="008000"/>
              <w:bottom w:val="single" w:sz="6" w:space="0" w:color="008000"/>
            </w:tcBorders>
            <w:shd w:val="clear" w:color="auto" w:fill="FFFFFF"/>
            <w:vAlign w:val="center"/>
          </w:tcPr>
          <w:p w14:paraId="5F785D60" w14:textId="77777777" w:rsidR="00B21FFA" w:rsidRDefault="00EF0561" w:rsidP="008C7439">
            <w:pPr>
              <w:pStyle w:val="CETBodytext"/>
              <w:ind w:left="87"/>
              <w:jc w:val="center"/>
            </w:pPr>
            <w:r w:rsidRPr="001D458D">
              <w:rPr>
                <w:rFonts w:cs="Arial"/>
                <w:szCs w:val="18"/>
              </w:rPr>
              <w:t xml:space="preserve">Atmospheric </w:t>
            </w:r>
            <w:r>
              <w:rPr>
                <w:rFonts w:cs="Arial"/>
                <w:szCs w:val="18"/>
              </w:rPr>
              <w:t>emission</w:t>
            </w:r>
          </w:p>
        </w:tc>
        <w:tc>
          <w:tcPr>
            <w:tcW w:w="1588" w:type="dxa"/>
            <w:tcBorders>
              <w:top w:val="single" w:sz="12" w:space="0" w:color="008000"/>
              <w:bottom w:val="single" w:sz="6" w:space="0" w:color="008000"/>
            </w:tcBorders>
            <w:shd w:val="clear" w:color="auto" w:fill="FFFFFF"/>
            <w:vAlign w:val="center"/>
          </w:tcPr>
          <w:p w14:paraId="27A32077" w14:textId="77777777" w:rsidR="00B21FFA" w:rsidRDefault="00EF0561">
            <w:pPr>
              <w:pStyle w:val="CETBodytext"/>
              <w:ind w:left="171"/>
            </w:pPr>
            <w:r w:rsidRPr="001D458D">
              <w:rPr>
                <w:rFonts w:cs="Arial"/>
                <w:szCs w:val="18"/>
              </w:rPr>
              <w:t>They emit toxic gases and vapors that are harmful to the environment and the health of workers</w:t>
            </w:r>
          </w:p>
        </w:tc>
        <w:tc>
          <w:tcPr>
            <w:tcW w:w="1701" w:type="dxa"/>
            <w:tcBorders>
              <w:top w:val="single" w:sz="12" w:space="0" w:color="008000"/>
              <w:bottom w:val="single" w:sz="6" w:space="0" w:color="008000"/>
            </w:tcBorders>
            <w:shd w:val="clear" w:color="auto" w:fill="FFFFFF"/>
          </w:tcPr>
          <w:p w14:paraId="382140FC" w14:textId="77777777" w:rsidR="00B21FFA" w:rsidRDefault="00EF0561">
            <w:pPr>
              <w:pStyle w:val="CETBodytext"/>
              <w:ind w:left="282" w:right="-1"/>
            </w:pPr>
            <w:r w:rsidRPr="001D458D">
              <w:t>Continuous monitoring</w:t>
            </w:r>
          </w:p>
        </w:tc>
        <w:tc>
          <w:tcPr>
            <w:tcW w:w="709" w:type="dxa"/>
            <w:tcBorders>
              <w:top w:val="single" w:sz="12" w:space="0" w:color="008000"/>
              <w:bottom w:val="single" w:sz="6" w:space="0" w:color="008000"/>
            </w:tcBorders>
            <w:shd w:val="clear" w:color="auto" w:fill="FFFFFF"/>
          </w:tcPr>
          <w:p w14:paraId="6EC6CF86" w14:textId="77777777" w:rsidR="00B21FFA" w:rsidRDefault="00EF0561">
            <w:pPr>
              <w:pStyle w:val="CETBodytext"/>
              <w:ind w:left="296" w:right="-1" w:hanging="296"/>
              <w:jc w:val="center"/>
            </w:pPr>
            <w:r>
              <w:t>9</w:t>
            </w:r>
          </w:p>
        </w:tc>
        <w:tc>
          <w:tcPr>
            <w:tcW w:w="1083" w:type="dxa"/>
            <w:tcBorders>
              <w:top w:val="single" w:sz="12" w:space="0" w:color="008000"/>
              <w:bottom w:val="single" w:sz="6" w:space="0" w:color="008000"/>
            </w:tcBorders>
            <w:shd w:val="clear" w:color="auto" w:fill="FFFFFF"/>
          </w:tcPr>
          <w:p w14:paraId="5C142890" w14:textId="77777777" w:rsidR="00B21FFA" w:rsidRDefault="00EF0561">
            <w:pPr>
              <w:pStyle w:val="CETBodytext"/>
              <w:ind w:right="-1"/>
              <w:jc w:val="center"/>
            </w:pPr>
            <w:r>
              <w:t>9</w:t>
            </w:r>
          </w:p>
        </w:tc>
        <w:tc>
          <w:tcPr>
            <w:tcW w:w="903" w:type="dxa"/>
            <w:tcBorders>
              <w:top w:val="single" w:sz="12" w:space="0" w:color="008000"/>
              <w:bottom w:val="single" w:sz="6" w:space="0" w:color="008000"/>
            </w:tcBorders>
            <w:shd w:val="clear" w:color="auto" w:fill="FFFFFF"/>
          </w:tcPr>
          <w:p w14:paraId="0C64F0E9" w14:textId="77777777" w:rsidR="00B21FFA" w:rsidRDefault="00EF0561">
            <w:pPr>
              <w:pStyle w:val="CETBodytext"/>
              <w:ind w:right="-1"/>
              <w:jc w:val="center"/>
            </w:pPr>
            <w:r>
              <w:rPr>
                <w:rFonts w:cs="Arial"/>
                <w:szCs w:val="18"/>
              </w:rPr>
              <w:t>9</w:t>
            </w:r>
          </w:p>
        </w:tc>
        <w:tc>
          <w:tcPr>
            <w:tcW w:w="707" w:type="dxa"/>
            <w:tcBorders>
              <w:top w:val="single" w:sz="12" w:space="0" w:color="008000"/>
              <w:bottom w:val="single" w:sz="6" w:space="0" w:color="008000"/>
            </w:tcBorders>
            <w:shd w:val="clear" w:color="auto" w:fill="FFFFFF"/>
            <w:vAlign w:val="center"/>
          </w:tcPr>
          <w:p w14:paraId="177AD0E5" w14:textId="77777777" w:rsidR="00B21FFA" w:rsidRDefault="00EF0561">
            <w:pPr>
              <w:pStyle w:val="CETBodytext"/>
              <w:ind w:right="-1"/>
              <w:jc w:val="center"/>
            </w:pPr>
            <w:r>
              <w:rPr>
                <w:rFonts w:cs="Arial"/>
                <w:szCs w:val="18"/>
              </w:rPr>
              <w:t>729</w:t>
            </w:r>
          </w:p>
        </w:tc>
      </w:tr>
      <w:tr w:rsidR="008A55CA" w:rsidRPr="00B57B36" w14:paraId="457D1FC7"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43BB942B" w14:textId="77777777" w:rsidR="00B21FFA" w:rsidRDefault="00EF0561">
            <w:pPr>
              <w:pStyle w:val="CETBodytext"/>
              <w:rPr>
                <w:lang w:val="en-GB"/>
              </w:rPr>
            </w:pPr>
            <w:r w:rsidRPr="001D458D">
              <w:rPr>
                <w:lang w:val="en-GB"/>
              </w:rPr>
              <w:t>Emissions by VOC, CO2</w:t>
            </w:r>
          </w:p>
        </w:tc>
        <w:tc>
          <w:tcPr>
            <w:tcW w:w="902" w:type="dxa"/>
            <w:tcBorders>
              <w:top w:val="single" w:sz="12" w:space="0" w:color="008000"/>
              <w:bottom w:val="single" w:sz="6" w:space="0" w:color="008000"/>
            </w:tcBorders>
            <w:shd w:val="clear" w:color="auto" w:fill="FFFFFF"/>
            <w:vAlign w:val="center"/>
          </w:tcPr>
          <w:p w14:paraId="0E3011B6" w14:textId="77777777" w:rsidR="00B21FFA" w:rsidRDefault="00EF0561">
            <w:pPr>
              <w:pStyle w:val="CETBodytext"/>
              <w:jc w:val="center"/>
              <w:rPr>
                <w:rFonts w:cs="Arial"/>
                <w:szCs w:val="18"/>
              </w:rPr>
            </w:pPr>
            <w:r w:rsidRPr="001D458D">
              <w:rPr>
                <w:rFonts w:cs="Arial"/>
                <w:szCs w:val="18"/>
              </w:rPr>
              <w:t xml:space="preserve">Atmospheric </w:t>
            </w:r>
            <w:r>
              <w:rPr>
                <w:rFonts w:cs="Arial"/>
                <w:szCs w:val="18"/>
              </w:rPr>
              <w:t>emission</w:t>
            </w:r>
          </w:p>
        </w:tc>
        <w:tc>
          <w:tcPr>
            <w:tcW w:w="1588" w:type="dxa"/>
            <w:tcBorders>
              <w:top w:val="single" w:sz="12" w:space="0" w:color="008000"/>
              <w:bottom w:val="single" w:sz="6" w:space="0" w:color="008000"/>
            </w:tcBorders>
            <w:shd w:val="clear" w:color="auto" w:fill="FFFFFF"/>
            <w:vAlign w:val="center"/>
          </w:tcPr>
          <w:p w14:paraId="65242FA8" w14:textId="77777777" w:rsidR="00B21FFA" w:rsidRDefault="00EF0561">
            <w:pPr>
              <w:pStyle w:val="CETBodytext"/>
              <w:ind w:left="171"/>
              <w:rPr>
                <w:rFonts w:cs="Arial"/>
                <w:szCs w:val="18"/>
              </w:rPr>
            </w:pPr>
            <w:r w:rsidRPr="001D458D">
              <w:rPr>
                <w:rFonts w:cs="Arial"/>
                <w:szCs w:val="18"/>
              </w:rPr>
              <w:t>Respiratory diseases. Degradation of the ozone layer</w:t>
            </w:r>
          </w:p>
        </w:tc>
        <w:tc>
          <w:tcPr>
            <w:tcW w:w="1701" w:type="dxa"/>
            <w:tcBorders>
              <w:top w:val="single" w:sz="12" w:space="0" w:color="008000"/>
              <w:bottom w:val="single" w:sz="6" w:space="0" w:color="008000"/>
            </w:tcBorders>
            <w:shd w:val="clear" w:color="auto" w:fill="FFFFFF"/>
          </w:tcPr>
          <w:p w14:paraId="3845373E" w14:textId="77777777" w:rsidR="00B21FFA" w:rsidRDefault="00EF0561">
            <w:pPr>
              <w:pStyle w:val="CETBodytext"/>
              <w:ind w:left="282" w:right="-1"/>
            </w:pPr>
            <w:r>
              <w:t xml:space="preserve">To </w:t>
            </w:r>
            <w:r w:rsidRPr="001D458D">
              <w:t>make strategic plans to control gases</w:t>
            </w:r>
          </w:p>
        </w:tc>
        <w:tc>
          <w:tcPr>
            <w:tcW w:w="709" w:type="dxa"/>
            <w:tcBorders>
              <w:top w:val="single" w:sz="12" w:space="0" w:color="008000"/>
              <w:bottom w:val="single" w:sz="6" w:space="0" w:color="008000"/>
            </w:tcBorders>
            <w:shd w:val="clear" w:color="auto" w:fill="FFFFFF"/>
          </w:tcPr>
          <w:p w14:paraId="52651EFD" w14:textId="77777777" w:rsidR="00B21FFA" w:rsidRDefault="00EF0561">
            <w:pPr>
              <w:pStyle w:val="CETBodytext"/>
              <w:ind w:left="296" w:right="-1" w:hanging="296"/>
              <w:jc w:val="center"/>
            </w:pPr>
            <w:r>
              <w:t>7</w:t>
            </w:r>
          </w:p>
        </w:tc>
        <w:tc>
          <w:tcPr>
            <w:tcW w:w="1083" w:type="dxa"/>
            <w:tcBorders>
              <w:top w:val="single" w:sz="12" w:space="0" w:color="008000"/>
              <w:bottom w:val="single" w:sz="6" w:space="0" w:color="008000"/>
            </w:tcBorders>
            <w:shd w:val="clear" w:color="auto" w:fill="FFFFFF"/>
          </w:tcPr>
          <w:p w14:paraId="0C62A51B" w14:textId="77777777" w:rsidR="00B21FFA" w:rsidRDefault="00EF0561">
            <w:pPr>
              <w:pStyle w:val="CETBodytext"/>
              <w:ind w:right="-1"/>
              <w:jc w:val="center"/>
            </w:pPr>
            <w:r>
              <w:t>8</w:t>
            </w:r>
          </w:p>
        </w:tc>
        <w:tc>
          <w:tcPr>
            <w:tcW w:w="903" w:type="dxa"/>
            <w:tcBorders>
              <w:top w:val="single" w:sz="12" w:space="0" w:color="008000"/>
              <w:bottom w:val="single" w:sz="6" w:space="0" w:color="008000"/>
            </w:tcBorders>
            <w:shd w:val="clear" w:color="auto" w:fill="FFFFFF"/>
          </w:tcPr>
          <w:p w14:paraId="3F64C471" w14:textId="77777777" w:rsidR="00B21FFA" w:rsidRDefault="00EF0561">
            <w:pPr>
              <w:pStyle w:val="CETBodytext"/>
              <w:ind w:right="-1"/>
              <w:jc w:val="center"/>
              <w:rPr>
                <w:rFonts w:cs="Arial"/>
                <w:szCs w:val="18"/>
              </w:rPr>
            </w:pPr>
            <w:r>
              <w:rPr>
                <w:rFonts w:cs="Arial"/>
                <w:szCs w:val="18"/>
              </w:rPr>
              <w:t>4</w:t>
            </w:r>
          </w:p>
        </w:tc>
        <w:tc>
          <w:tcPr>
            <w:tcW w:w="707" w:type="dxa"/>
            <w:tcBorders>
              <w:top w:val="single" w:sz="12" w:space="0" w:color="008000"/>
              <w:bottom w:val="single" w:sz="6" w:space="0" w:color="008000"/>
            </w:tcBorders>
            <w:shd w:val="clear" w:color="auto" w:fill="FFFFFF"/>
            <w:vAlign w:val="center"/>
          </w:tcPr>
          <w:p w14:paraId="17D0EF68" w14:textId="77777777" w:rsidR="00B21FFA" w:rsidRDefault="00EF0561">
            <w:pPr>
              <w:pStyle w:val="CETBodytext"/>
              <w:ind w:right="-1"/>
              <w:jc w:val="center"/>
              <w:rPr>
                <w:rFonts w:cs="Arial"/>
                <w:szCs w:val="18"/>
              </w:rPr>
            </w:pPr>
            <w:r>
              <w:rPr>
                <w:rFonts w:cs="Arial"/>
                <w:szCs w:val="18"/>
              </w:rPr>
              <w:t>224</w:t>
            </w:r>
          </w:p>
        </w:tc>
      </w:tr>
      <w:tr w:rsidR="008A55CA" w:rsidRPr="00B57B36" w14:paraId="21F169DC"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6C38FB91" w14:textId="77777777" w:rsidR="00B21FFA" w:rsidRDefault="00EF0561">
            <w:pPr>
              <w:pStyle w:val="CETBodytext"/>
              <w:rPr>
                <w:lang w:val="en-GB"/>
              </w:rPr>
            </w:pPr>
            <w:r w:rsidRPr="001D458D">
              <w:rPr>
                <w:lang w:val="en-GB"/>
              </w:rPr>
              <w:t>Solid waste</w:t>
            </w:r>
          </w:p>
        </w:tc>
        <w:tc>
          <w:tcPr>
            <w:tcW w:w="902" w:type="dxa"/>
            <w:tcBorders>
              <w:top w:val="single" w:sz="12" w:space="0" w:color="008000"/>
              <w:bottom w:val="single" w:sz="6" w:space="0" w:color="008000"/>
            </w:tcBorders>
            <w:shd w:val="clear" w:color="auto" w:fill="FFFFFF"/>
            <w:vAlign w:val="center"/>
          </w:tcPr>
          <w:p w14:paraId="6117E78E" w14:textId="01A035D1" w:rsidR="00B21FFA" w:rsidRDefault="00EF0561">
            <w:pPr>
              <w:pStyle w:val="CETBodytext"/>
              <w:jc w:val="center"/>
              <w:rPr>
                <w:rFonts w:cs="Arial"/>
                <w:szCs w:val="18"/>
              </w:rPr>
            </w:pPr>
            <w:r w:rsidRPr="001D458D">
              <w:rPr>
                <w:rFonts w:cs="Arial"/>
                <w:szCs w:val="18"/>
              </w:rPr>
              <w:t>Contamination of soil, water sources</w:t>
            </w:r>
            <w:r w:rsidR="0075553E">
              <w:rPr>
                <w:rFonts w:cs="Arial"/>
                <w:szCs w:val="18"/>
              </w:rPr>
              <w:t>,</w:t>
            </w:r>
            <w:r w:rsidRPr="001D458D">
              <w:rPr>
                <w:rFonts w:cs="Arial"/>
                <w:szCs w:val="18"/>
              </w:rPr>
              <w:t xml:space="preserve"> and groundwater</w:t>
            </w:r>
          </w:p>
        </w:tc>
        <w:tc>
          <w:tcPr>
            <w:tcW w:w="1588" w:type="dxa"/>
            <w:tcBorders>
              <w:top w:val="single" w:sz="12" w:space="0" w:color="008000"/>
              <w:bottom w:val="single" w:sz="6" w:space="0" w:color="008000"/>
            </w:tcBorders>
            <w:shd w:val="clear" w:color="auto" w:fill="FFFFFF"/>
            <w:vAlign w:val="center"/>
          </w:tcPr>
          <w:p w14:paraId="6D1B126B" w14:textId="77777777" w:rsidR="00B21FFA" w:rsidRDefault="00EF0561">
            <w:pPr>
              <w:pStyle w:val="CETBodytext"/>
              <w:ind w:left="171"/>
              <w:rPr>
                <w:rFonts w:cs="Arial"/>
                <w:szCs w:val="18"/>
              </w:rPr>
            </w:pPr>
            <w:r w:rsidRPr="001D458D">
              <w:rPr>
                <w:rFonts w:cs="Arial"/>
                <w:szCs w:val="18"/>
              </w:rPr>
              <w:t>Deterioration of soil and water quality. Decrease in the useful life of landfills.</w:t>
            </w:r>
          </w:p>
        </w:tc>
        <w:tc>
          <w:tcPr>
            <w:tcW w:w="1701" w:type="dxa"/>
            <w:tcBorders>
              <w:top w:val="single" w:sz="12" w:space="0" w:color="008000"/>
              <w:bottom w:val="single" w:sz="6" w:space="0" w:color="008000"/>
            </w:tcBorders>
            <w:shd w:val="clear" w:color="auto" w:fill="FFFFFF"/>
          </w:tcPr>
          <w:p w14:paraId="429E78EC" w14:textId="0FED7D2F" w:rsidR="00B21FFA" w:rsidRDefault="00EF0561">
            <w:pPr>
              <w:pStyle w:val="CETBodytext"/>
              <w:ind w:left="282" w:right="-1"/>
            </w:pPr>
            <w:r>
              <w:t xml:space="preserve">To </w:t>
            </w:r>
            <w:r w:rsidRPr="001D458D">
              <w:t xml:space="preserve">adapt </w:t>
            </w:r>
            <w:r w:rsidR="0075553E">
              <w:t>environmental policy guidelines</w:t>
            </w:r>
            <w:r w:rsidRPr="001D458D">
              <w:t xml:space="preserve"> for the integral management of solid waste. Use biodegradable materials. Give good use of reuse</w:t>
            </w:r>
          </w:p>
        </w:tc>
        <w:tc>
          <w:tcPr>
            <w:tcW w:w="709" w:type="dxa"/>
            <w:tcBorders>
              <w:top w:val="single" w:sz="12" w:space="0" w:color="008000"/>
              <w:bottom w:val="single" w:sz="6" w:space="0" w:color="008000"/>
            </w:tcBorders>
            <w:shd w:val="clear" w:color="auto" w:fill="FFFFFF"/>
          </w:tcPr>
          <w:p w14:paraId="5491DEDC" w14:textId="77777777" w:rsidR="00B21FFA" w:rsidRDefault="00EF0561">
            <w:pPr>
              <w:pStyle w:val="CETBodytext"/>
              <w:ind w:left="296" w:right="-1" w:hanging="296"/>
              <w:jc w:val="center"/>
            </w:pPr>
            <w:r>
              <w:t>10</w:t>
            </w:r>
          </w:p>
        </w:tc>
        <w:tc>
          <w:tcPr>
            <w:tcW w:w="1083" w:type="dxa"/>
            <w:tcBorders>
              <w:top w:val="single" w:sz="12" w:space="0" w:color="008000"/>
              <w:bottom w:val="single" w:sz="6" w:space="0" w:color="008000"/>
            </w:tcBorders>
            <w:shd w:val="clear" w:color="auto" w:fill="FFFFFF"/>
          </w:tcPr>
          <w:p w14:paraId="7B1F71B0" w14:textId="77777777" w:rsidR="00B21FFA" w:rsidRDefault="00EF0561">
            <w:pPr>
              <w:pStyle w:val="CETBodytext"/>
              <w:ind w:right="-1"/>
              <w:jc w:val="center"/>
            </w:pPr>
            <w:r>
              <w:t>10</w:t>
            </w:r>
          </w:p>
        </w:tc>
        <w:tc>
          <w:tcPr>
            <w:tcW w:w="903" w:type="dxa"/>
            <w:tcBorders>
              <w:top w:val="single" w:sz="12" w:space="0" w:color="008000"/>
              <w:bottom w:val="single" w:sz="6" w:space="0" w:color="008000"/>
            </w:tcBorders>
            <w:shd w:val="clear" w:color="auto" w:fill="FFFFFF"/>
          </w:tcPr>
          <w:p w14:paraId="00596FFE" w14:textId="77777777" w:rsidR="00B21FFA" w:rsidRDefault="00EF0561">
            <w:pPr>
              <w:pStyle w:val="CETBodytext"/>
              <w:ind w:right="-1"/>
              <w:jc w:val="center"/>
              <w:rPr>
                <w:rFonts w:cs="Arial"/>
                <w:szCs w:val="18"/>
              </w:rPr>
            </w:pPr>
            <w:r>
              <w:rPr>
                <w:rFonts w:cs="Arial"/>
                <w:szCs w:val="18"/>
              </w:rPr>
              <w:t>10</w:t>
            </w:r>
          </w:p>
        </w:tc>
        <w:tc>
          <w:tcPr>
            <w:tcW w:w="707" w:type="dxa"/>
            <w:tcBorders>
              <w:top w:val="single" w:sz="12" w:space="0" w:color="008000"/>
              <w:bottom w:val="single" w:sz="6" w:space="0" w:color="008000"/>
            </w:tcBorders>
            <w:shd w:val="clear" w:color="auto" w:fill="FFFFFF"/>
            <w:vAlign w:val="center"/>
          </w:tcPr>
          <w:p w14:paraId="022A0AEA" w14:textId="77777777" w:rsidR="00B21FFA" w:rsidRDefault="00EF0561">
            <w:pPr>
              <w:pStyle w:val="CETBodytext"/>
              <w:ind w:right="-1"/>
              <w:jc w:val="center"/>
              <w:rPr>
                <w:rFonts w:cs="Arial"/>
                <w:szCs w:val="18"/>
              </w:rPr>
            </w:pPr>
            <w:r>
              <w:rPr>
                <w:rFonts w:cs="Arial"/>
                <w:szCs w:val="18"/>
              </w:rPr>
              <w:t>1000</w:t>
            </w:r>
          </w:p>
        </w:tc>
      </w:tr>
      <w:tr w:rsidR="008A55CA" w:rsidRPr="00B57B36" w14:paraId="1E79E339" w14:textId="77777777" w:rsidTr="008C7439">
        <w:trPr>
          <w:trHeight w:val="223"/>
        </w:trPr>
        <w:tc>
          <w:tcPr>
            <w:tcW w:w="1276" w:type="dxa"/>
            <w:tcBorders>
              <w:top w:val="single" w:sz="12" w:space="0" w:color="008000"/>
              <w:bottom w:val="single" w:sz="6" w:space="0" w:color="008000"/>
            </w:tcBorders>
            <w:shd w:val="clear" w:color="auto" w:fill="FFFFFF"/>
            <w:vAlign w:val="center"/>
          </w:tcPr>
          <w:p w14:paraId="4576DD46" w14:textId="77777777" w:rsidR="00B21FFA" w:rsidRDefault="00EF0561">
            <w:pPr>
              <w:pStyle w:val="CETBodytext"/>
              <w:rPr>
                <w:lang w:val="en-GB"/>
              </w:rPr>
            </w:pPr>
            <w:r w:rsidRPr="001D458D">
              <w:rPr>
                <w:lang w:val="en-GB"/>
              </w:rPr>
              <w:t>Sewage water</w:t>
            </w:r>
          </w:p>
        </w:tc>
        <w:tc>
          <w:tcPr>
            <w:tcW w:w="902" w:type="dxa"/>
            <w:tcBorders>
              <w:top w:val="single" w:sz="12" w:space="0" w:color="008000"/>
              <w:bottom w:val="single" w:sz="6" w:space="0" w:color="008000"/>
            </w:tcBorders>
            <w:shd w:val="clear" w:color="auto" w:fill="FFFFFF"/>
            <w:vAlign w:val="center"/>
          </w:tcPr>
          <w:p w14:paraId="7C13A180" w14:textId="77777777" w:rsidR="00B21FFA" w:rsidRDefault="00EF0561">
            <w:pPr>
              <w:pStyle w:val="CETBodytext"/>
              <w:jc w:val="center"/>
              <w:rPr>
                <w:rFonts w:cs="Arial"/>
                <w:szCs w:val="18"/>
              </w:rPr>
            </w:pPr>
            <w:r w:rsidRPr="001D458D">
              <w:rPr>
                <w:rFonts w:cs="Arial"/>
                <w:szCs w:val="18"/>
              </w:rPr>
              <w:t>Contamination of soils and water sources</w:t>
            </w:r>
          </w:p>
        </w:tc>
        <w:tc>
          <w:tcPr>
            <w:tcW w:w="1588" w:type="dxa"/>
            <w:tcBorders>
              <w:top w:val="single" w:sz="12" w:space="0" w:color="008000"/>
              <w:bottom w:val="single" w:sz="6" w:space="0" w:color="008000"/>
            </w:tcBorders>
            <w:shd w:val="clear" w:color="auto" w:fill="FFFFFF"/>
            <w:vAlign w:val="center"/>
          </w:tcPr>
          <w:p w14:paraId="1827B692" w14:textId="77777777" w:rsidR="00B21FFA" w:rsidRDefault="00EF0561">
            <w:pPr>
              <w:pStyle w:val="CETBodytext"/>
              <w:ind w:left="171"/>
              <w:rPr>
                <w:rFonts w:cs="Arial"/>
                <w:szCs w:val="18"/>
              </w:rPr>
            </w:pPr>
            <w:r w:rsidRPr="001D458D">
              <w:rPr>
                <w:rFonts w:cs="Arial"/>
                <w:szCs w:val="18"/>
              </w:rPr>
              <w:t>The quality of the environment decreases. Health illnesses of workers</w:t>
            </w:r>
          </w:p>
        </w:tc>
        <w:tc>
          <w:tcPr>
            <w:tcW w:w="1701" w:type="dxa"/>
            <w:tcBorders>
              <w:top w:val="single" w:sz="12" w:space="0" w:color="008000"/>
              <w:bottom w:val="single" w:sz="6" w:space="0" w:color="008000"/>
            </w:tcBorders>
            <w:shd w:val="clear" w:color="auto" w:fill="FFFFFF"/>
          </w:tcPr>
          <w:p w14:paraId="4693B74F" w14:textId="77777777" w:rsidR="00B21FFA" w:rsidRDefault="00EF0561">
            <w:pPr>
              <w:pStyle w:val="CETBodytext"/>
              <w:ind w:left="282" w:right="-1"/>
            </w:pPr>
            <w:r>
              <w:t xml:space="preserve">To </w:t>
            </w:r>
            <w:r w:rsidRPr="001D458D">
              <w:t>implement a wastewater treatment plant. Rainwater harvesting system</w:t>
            </w:r>
          </w:p>
        </w:tc>
        <w:tc>
          <w:tcPr>
            <w:tcW w:w="709" w:type="dxa"/>
            <w:tcBorders>
              <w:top w:val="single" w:sz="12" w:space="0" w:color="008000"/>
              <w:bottom w:val="single" w:sz="6" w:space="0" w:color="008000"/>
            </w:tcBorders>
            <w:shd w:val="clear" w:color="auto" w:fill="FFFFFF"/>
          </w:tcPr>
          <w:p w14:paraId="2BEC3B5A" w14:textId="77777777" w:rsidR="00B21FFA" w:rsidRDefault="00EF0561">
            <w:pPr>
              <w:pStyle w:val="CETBodytext"/>
              <w:ind w:left="296" w:right="-1" w:hanging="296"/>
              <w:jc w:val="center"/>
            </w:pPr>
            <w:r>
              <w:t>6</w:t>
            </w:r>
          </w:p>
        </w:tc>
        <w:tc>
          <w:tcPr>
            <w:tcW w:w="1083" w:type="dxa"/>
            <w:tcBorders>
              <w:top w:val="single" w:sz="12" w:space="0" w:color="008000"/>
              <w:bottom w:val="single" w:sz="6" w:space="0" w:color="008000"/>
            </w:tcBorders>
            <w:shd w:val="clear" w:color="auto" w:fill="FFFFFF"/>
          </w:tcPr>
          <w:p w14:paraId="20ADA385" w14:textId="77777777" w:rsidR="00B21FFA" w:rsidRDefault="00EF0561">
            <w:pPr>
              <w:pStyle w:val="CETBodytext"/>
              <w:ind w:right="-1"/>
              <w:jc w:val="center"/>
            </w:pPr>
            <w:r>
              <w:t>8</w:t>
            </w:r>
          </w:p>
        </w:tc>
        <w:tc>
          <w:tcPr>
            <w:tcW w:w="903" w:type="dxa"/>
            <w:tcBorders>
              <w:top w:val="single" w:sz="12" w:space="0" w:color="008000"/>
              <w:bottom w:val="single" w:sz="6" w:space="0" w:color="008000"/>
            </w:tcBorders>
            <w:shd w:val="clear" w:color="auto" w:fill="FFFFFF"/>
          </w:tcPr>
          <w:p w14:paraId="4066E528" w14:textId="77777777" w:rsidR="00B21FFA" w:rsidRDefault="00EF0561">
            <w:pPr>
              <w:pStyle w:val="CETBodytext"/>
              <w:ind w:right="-1"/>
              <w:jc w:val="center"/>
              <w:rPr>
                <w:rFonts w:cs="Arial"/>
                <w:szCs w:val="18"/>
              </w:rPr>
            </w:pPr>
            <w:r>
              <w:rPr>
                <w:rFonts w:cs="Arial"/>
                <w:szCs w:val="18"/>
              </w:rPr>
              <w:t>6</w:t>
            </w:r>
          </w:p>
        </w:tc>
        <w:tc>
          <w:tcPr>
            <w:tcW w:w="707" w:type="dxa"/>
            <w:tcBorders>
              <w:top w:val="single" w:sz="12" w:space="0" w:color="008000"/>
              <w:bottom w:val="single" w:sz="6" w:space="0" w:color="008000"/>
            </w:tcBorders>
            <w:shd w:val="clear" w:color="auto" w:fill="FFFFFF"/>
            <w:vAlign w:val="center"/>
          </w:tcPr>
          <w:p w14:paraId="46720014" w14:textId="77777777" w:rsidR="00B21FFA" w:rsidRDefault="00EF0561">
            <w:pPr>
              <w:pStyle w:val="CETBodytext"/>
              <w:ind w:right="-1"/>
              <w:jc w:val="center"/>
              <w:rPr>
                <w:rFonts w:cs="Arial"/>
                <w:szCs w:val="18"/>
              </w:rPr>
            </w:pPr>
            <w:r>
              <w:rPr>
                <w:rFonts w:cs="Arial"/>
                <w:szCs w:val="18"/>
              </w:rPr>
              <w:t>288</w:t>
            </w:r>
          </w:p>
        </w:tc>
      </w:tr>
    </w:tbl>
    <w:p w14:paraId="450EC105" w14:textId="77777777" w:rsidR="0018288B" w:rsidRDefault="0018288B" w:rsidP="00662EB6">
      <w:pPr>
        <w:pStyle w:val="CETBodytext"/>
        <w:rPr>
          <w:lang w:val="es-CO"/>
        </w:rPr>
      </w:pPr>
    </w:p>
    <w:p w14:paraId="2EF3EDA8" w14:textId="77777777" w:rsidR="000A68CB" w:rsidRDefault="00CA5D36">
      <w:pPr>
        <w:pStyle w:val="CETBodytext"/>
      </w:pPr>
      <w:r w:rsidRPr="00CA5D36">
        <w:t xml:space="preserve">The household appliance manufacturing sector presents opportunities for improvement in the implementation of eco-design, which promotes preventive control from the beginning of the product life cycle. (Hoof, 2015). As for the physical facilities of their production plants, the suggestion is to invest with a view to savings, obtaining not only economic but also environmental benefits, with changes such as the implementation of solar panels for power supply in the luminaire, a physical restructuring with improvements in ventilation systems and access to natural light, high-tech machinery that mitigates the carbon footprint. </w:t>
      </w:r>
    </w:p>
    <w:p w14:paraId="5FB1AA1A" w14:textId="77777777" w:rsidR="000A68CB" w:rsidRDefault="000A68CB">
      <w:pPr>
        <w:pStyle w:val="CETBodytext"/>
      </w:pPr>
    </w:p>
    <w:p w14:paraId="2748D629" w14:textId="3039F2F2" w:rsidR="00CA5D36" w:rsidRDefault="00CA5D36">
      <w:pPr>
        <w:pStyle w:val="CETBodytext"/>
      </w:pPr>
      <w:r w:rsidRPr="00CA5D36">
        <w:t xml:space="preserve">Furthermore, as an opportunity for improvement, it is advisable to have early management of their suppliers to identify in a preventive way the ecological line that manages their inputs and materials of the main product to be manufactured by the companies studied. In addition, </w:t>
      </w:r>
      <w:r w:rsidR="0075553E">
        <w:t>implementing</w:t>
      </w:r>
      <w:r w:rsidRPr="00CA5D36">
        <w:t xml:space="preserve"> preventive programs to continuously promote the inclusion of employees training on the classification and disposal of waste leads the staff to generate an ecological commitment within their role in the company and self-care and prevention of occupational diseases.</w:t>
      </w:r>
    </w:p>
    <w:p w14:paraId="12AADC81" w14:textId="77777777" w:rsidR="00B21FFA" w:rsidRDefault="00EF0561">
      <w:pPr>
        <w:pStyle w:val="CETHeading1"/>
      </w:pPr>
      <w:r>
        <w:t>Conclusions</w:t>
      </w:r>
    </w:p>
    <w:p w14:paraId="46C165FD" w14:textId="77777777" w:rsidR="007174EC" w:rsidRDefault="007174EC" w:rsidP="00DC44B5">
      <w:pPr>
        <w:pStyle w:val="CETBodytext"/>
      </w:pPr>
      <w:r w:rsidRPr="007174EC">
        <w:t>Appliance companies in Bogota should use methods and techniques to prevent and minimize environmental impacts based on the design of processes and technologies available for waste treatment (</w:t>
      </w:r>
      <w:proofErr w:type="spellStart"/>
      <w:r w:rsidRPr="007174EC">
        <w:t>Boltic</w:t>
      </w:r>
      <w:proofErr w:type="spellEnd"/>
      <w:r w:rsidRPr="007174EC">
        <w:t xml:space="preserve"> &amp; </w:t>
      </w:r>
      <w:proofErr w:type="spellStart"/>
      <w:r w:rsidRPr="007174EC">
        <w:t>Ruzic</w:t>
      </w:r>
      <w:proofErr w:type="spellEnd"/>
      <w:r w:rsidRPr="007174EC">
        <w:t xml:space="preserve">, 2013). </w:t>
      </w:r>
    </w:p>
    <w:p w14:paraId="69AB8902" w14:textId="407D5A03" w:rsidR="007174EC" w:rsidRDefault="007174EC" w:rsidP="00DC44B5">
      <w:pPr>
        <w:pStyle w:val="CETBodytext"/>
      </w:pPr>
      <w:r w:rsidRPr="007174EC">
        <w:t xml:space="preserve">The difficulty evidenced that companies have to maintain an environmental management system within their processes (Colin C.J., et.al, 2014), so you must generate production strategies that optimize resources and </w:t>
      </w:r>
      <w:r w:rsidRPr="007174EC">
        <w:lastRenderedPageBreak/>
        <w:t xml:space="preserve">reduce production costs </w:t>
      </w:r>
      <w:r w:rsidR="0075553E">
        <w:t>caused</w:t>
      </w:r>
      <w:r w:rsidRPr="007174EC">
        <w:t xml:space="preserve"> by waste. It is of great importance to maintain a culture of good manufacturing practices that </w:t>
      </w:r>
      <w:r w:rsidR="0075553E">
        <w:t>create</w:t>
      </w:r>
      <w:r w:rsidRPr="007174EC">
        <w:t xml:space="preserve"> greater welfare </w:t>
      </w:r>
      <w:r w:rsidR="0075553E">
        <w:t>for</w:t>
      </w:r>
      <w:r w:rsidRPr="007174EC">
        <w:t xml:space="preserve"> workers and contribute to companies in this sector to formulate, implement and maintain environmental management systems ISO 14001. </w:t>
      </w:r>
    </w:p>
    <w:p w14:paraId="28E10F5F" w14:textId="371CDF33" w:rsidR="00DC44B5" w:rsidRPr="00BD7DD4" w:rsidRDefault="007174EC" w:rsidP="00DC44B5">
      <w:pPr>
        <w:pStyle w:val="CETBodytext"/>
      </w:pPr>
      <w:r w:rsidRPr="007174EC">
        <w:t>Finally, the participation of companies in the household appliances sector in the PREAD program encourages industry managers and their human resources to seek sustainable and healthy practices.</w:t>
      </w:r>
    </w:p>
    <w:p w14:paraId="5D1780BC" w14:textId="77777777" w:rsidR="00B21FFA" w:rsidRPr="00BD7DD4" w:rsidRDefault="00EF0561">
      <w:pPr>
        <w:pStyle w:val="CETheadingx"/>
        <w:rPr>
          <w:lang w:val="en-US"/>
        </w:rPr>
      </w:pPr>
      <w:r w:rsidRPr="00BD7DD4">
        <w:rPr>
          <w:rFonts w:eastAsiaTheme="minorHAnsi"/>
          <w:lang w:val="en-US"/>
        </w:rPr>
        <w:t xml:space="preserve">Acknowledgments </w:t>
      </w:r>
    </w:p>
    <w:p w14:paraId="69B2823D" w14:textId="77777777" w:rsidR="00B21FFA" w:rsidRPr="00BD7DD4" w:rsidRDefault="00EF0561">
      <w:pPr>
        <w:pStyle w:val="CETBodytext"/>
      </w:pPr>
      <w:r w:rsidRPr="00BD7DD4">
        <w:t xml:space="preserve">Participating companies from the </w:t>
      </w:r>
      <w:r w:rsidR="00E6439E" w:rsidRPr="00BD7DD4">
        <w:t xml:space="preserve">household appliances </w:t>
      </w:r>
      <w:r w:rsidRPr="00BD7DD4">
        <w:t>sector in Bogota.</w:t>
      </w:r>
    </w:p>
    <w:p w14:paraId="003B451E" w14:textId="77777777" w:rsidR="00B21FFA" w:rsidRDefault="00EF0561">
      <w:pPr>
        <w:pStyle w:val="CETHeading1"/>
      </w:pPr>
      <w:r w:rsidRPr="001B72B9">
        <w:t>References</w:t>
      </w:r>
    </w:p>
    <w:p w14:paraId="7CD73309" w14:textId="14EB69A6" w:rsidR="00B21FFA" w:rsidRDefault="00EF0561">
      <w:pPr>
        <w:pStyle w:val="CETReferencetext"/>
        <w:rPr>
          <w:lang w:val="en-US"/>
        </w:rPr>
      </w:pPr>
      <w:r w:rsidRPr="004C60C9">
        <w:rPr>
          <w:lang w:val="en-US"/>
        </w:rPr>
        <w:t xml:space="preserve">Abbasi O., </w:t>
      </w:r>
      <w:hyperlink r:id="rId16" w:history="1">
        <w:r w:rsidRPr="004C60C9">
          <w:rPr>
            <w:lang w:val="en-US"/>
          </w:rPr>
          <w:t xml:space="preserve">Noorzai </w:t>
        </w:r>
      </w:hyperlink>
      <w:r w:rsidRPr="004C60C9">
        <w:rPr>
          <w:lang w:val="en-US"/>
        </w:rPr>
        <w:t xml:space="preserve">E., </w:t>
      </w:r>
      <w:hyperlink r:id="rId17" w:history="1">
        <w:proofErr w:type="spellStart"/>
        <w:r w:rsidRPr="004C60C9">
          <w:rPr>
            <w:lang w:val="en-US"/>
          </w:rPr>
          <w:t>Gharouni</w:t>
        </w:r>
        <w:proofErr w:type="spellEnd"/>
        <w:r w:rsidR="008C7439">
          <w:rPr>
            <w:lang w:val="en-US"/>
          </w:rPr>
          <w:t xml:space="preserve"> </w:t>
        </w:r>
        <w:r w:rsidRPr="004C60C9">
          <w:rPr>
            <w:lang w:val="en-US"/>
          </w:rPr>
          <w:t>K</w:t>
        </w:r>
        <w:r w:rsidR="008C7439">
          <w:rPr>
            <w:lang w:val="en-US"/>
          </w:rPr>
          <w:t>.</w:t>
        </w:r>
        <w:r w:rsidRPr="004C60C9">
          <w:rPr>
            <w:lang w:val="en-US"/>
          </w:rPr>
          <w:t xml:space="preserve">, </w:t>
        </w:r>
      </w:hyperlink>
      <w:hyperlink r:id="rId18" w:history="1">
        <w:proofErr w:type="spellStart"/>
        <w:r w:rsidRPr="004C60C9">
          <w:rPr>
            <w:lang w:val="en-US"/>
          </w:rPr>
          <w:t>Golabchi</w:t>
        </w:r>
        <w:proofErr w:type="spellEnd"/>
      </w:hyperlink>
      <w:r w:rsidR="008C7439">
        <w:rPr>
          <w:lang w:val="en-US"/>
        </w:rPr>
        <w:t xml:space="preserve"> </w:t>
      </w:r>
      <w:r w:rsidR="004C60C9" w:rsidRPr="004C60C9">
        <w:rPr>
          <w:lang w:val="en-US"/>
        </w:rPr>
        <w:t xml:space="preserve">M., 2020, </w:t>
      </w:r>
      <w:r w:rsidRPr="004C60C9">
        <w:rPr>
          <w:lang w:val="en-US"/>
        </w:rPr>
        <w:t>Exploring the Causes of Delays in Construction Industry Using a Cause-and-Effect Diagram: Case Study for Iran</w:t>
      </w:r>
      <w:r w:rsidR="004C60C9" w:rsidRPr="004C60C9">
        <w:rPr>
          <w:lang w:val="en-US"/>
        </w:rPr>
        <w:t xml:space="preserve">, </w:t>
      </w:r>
      <w:hyperlink r:id="rId19" w:history="1">
        <w:r w:rsidR="004C60C9" w:rsidRPr="004C60C9">
          <w:rPr>
            <w:lang w:val="en-US"/>
          </w:rPr>
          <w:t>Journal of Architectural Engineering</w:t>
        </w:r>
      </w:hyperlink>
      <w:r w:rsidR="004C60C9">
        <w:rPr>
          <w:lang w:val="en-US"/>
        </w:rPr>
        <w:t xml:space="preserve">, </w:t>
      </w:r>
      <w:hyperlink r:id="rId20" w:history="1">
        <w:r w:rsidR="004C60C9" w:rsidRPr="004C60C9">
          <w:rPr>
            <w:lang w:val="en-US"/>
          </w:rPr>
          <w:t>26</w:t>
        </w:r>
        <w:r w:rsidR="004C60C9">
          <w:rPr>
            <w:lang w:val="en-US"/>
          </w:rPr>
          <w:t>,</w:t>
        </w:r>
        <w:r w:rsidR="004C60C9" w:rsidRPr="004C60C9">
          <w:rPr>
            <w:lang w:val="en-US"/>
          </w:rPr>
          <w:t xml:space="preserve">3. </w:t>
        </w:r>
      </w:hyperlink>
    </w:p>
    <w:p w14:paraId="66CDE7BD" w14:textId="0755F916" w:rsidR="00B21FFA" w:rsidRDefault="00EF0561">
      <w:pPr>
        <w:pStyle w:val="CETReferencetext"/>
        <w:rPr>
          <w:lang w:val="es-CO"/>
        </w:rPr>
      </w:pPr>
      <w:r w:rsidRPr="000B24AF">
        <w:rPr>
          <w:lang w:val="es-CO"/>
        </w:rPr>
        <w:t>Alvarado</w:t>
      </w:r>
      <w:r>
        <w:rPr>
          <w:lang w:val="es-CO"/>
        </w:rPr>
        <w:t xml:space="preserve"> </w:t>
      </w:r>
      <w:r w:rsidRPr="000B24AF">
        <w:rPr>
          <w:lang w:val="es-CO"/>
        </w:rPr>
        <w:t>R</w:t>
      </w:r>
      <w:r>
        <w:rPr>
          <w:lang w:val="es-CO"/>
        </w:rPr>
        <w:t xml:space="preserve">., </w:t>
      </w:r>
      <w:proofErr w:type="spellStart"/>
      <w:r w:rsidRPr="000B24AF">
        <w:rPr>
          <w:lang w:val="es-CO"/>
        </w:rPr>
        <w:t>Pumisacho</w:t>
      </w:r>
      <w:proofErr w:type="spellEnd"/>
      <w:r>
        <w:rPr>
          <w:lang w:val="es-CO"/>
        </w:rPr>
        <w:t xml:space="preserve"> </w:t>
      </w:r>
      <w:r w:rsidRPr="000B24AF">
        <w:rPr>
          <w:lang w:val="es-CO"/>
        </w:rPr>
        <w:t>Á</w:t>
      </w:r>
      <w:r>
        <w:rPr>
          <w:lang w:val="es-CO"/>
        </w:rPr>
        <w:t>.</w:t>
      </w:r>
      <w:r w:rsidRPr="000B24AF">
        <w:rPr>
          <w:lang w:val="es-CO"/>
        </w:rPr>
        <w:t xml:space="preserve">, </w:t>
      </w:r>
      <w:r>
        <w:rPr>
          <w:lang w:val="es-CO"/>
        </w:rPr>
        <w:t xml:space="preserve">2017, </w:t>
      </w:r>
      <w:r w:rsidRPr="000B24AF">
        <w:rPr>
          <w:lang w:val="es-CO"/>
        </w:rPr>
        <w:t xml:space="preserve">Prácticas de mejora continua, con enfoque </w:t>
      </w:r>
      <w:proofErr w:type="spellStart"/>
      <w:r w:rsidRPr="000B24AF">
        <w:rPr>
          <w:lang w:val="es-CO"/>
        </w:rPr>
        <w:t>Kaizen</w:t>
      </w:r>
      <w:proofErr w:type="spellEnd"/>
      <w:r w:rsidRPr="000B24AF">
        <w:rPr>
          <w:lang w:val="es-CO"/>
        </w:rPr>
        <w:t>, en empresas del Distrito Metropolitano de Quito: Un estudio exploratorio</w:t>
      </w:r>
      <w:r w:rsidR="00B93A4F">
        <w:rPr>
          <w:lang w:val="es-CO"/>
        </w:rPr>
        <w:t>,</w:t>
      </w:r>
      <w:r w:rsidRPr="000B24AF">
        <w:rPr>
          <w:lang w:val="es-CO"/>
        </w:rPr>
        <w:t xml:space="preserve"> Intangible Capital,13,</w:t>
      </w:r>
      <w:r w:rsidR="00B93A4F">
        <w:rPr>
          <w:lang w:val="es-CO"/>
        </w:rPr>
        <w:t>2</w:t>
      </w:r>
      <w:r w:rsidRPr="000B24AF">
        <w:rPr>
          <w:lang w:val="es-CO"/>
        </w:rPr>
        <w:t xml:space="preserve">, 479-497 </w:t>
      </w:r>
    </w:p>
    <w:p w14:paraId="04403579" w14:textId="2D7B1B0C" w:rsidR="00B21FFA" w:rsidRPr="00BD7DD4" w:rsidRDefault="00EF0561">
      <w:pPr>
        <w:pStyle w:val="CETReferencetext"/>
        <w:rPr>
          <w:lang w:val="en-US"/>
        </w:rPr>
      </w:pPr>
      <w:r w:rsidRPr="00BD7DD4">
        <w:rPr>
          <w:lang w:val="en-US"/>
        </w:rPr>
        <w:t>Ardila</w:t>
      </w:r>
      <w:r w:rsidR="008C7439">
        <w:rPr>
          <w:lang w:val="en-US"/>
        </w:rPr>
        <w:t xml:space="preserve"> </w:t>
      </w:r>
      <w:r w:rsidRPr="00BD7DD4">
        <w:rPr>
          <w:lang w:val="en-US"/>
        </w:rPr>
        <w:t xml:space="preserve">G., 2011, </w:t>
      </w:r>
      <w:r w:rsidRPr="008C7439">
        <w:rPr>
          <w:iCs/>
          <w:lang w:val="en-US"/>
        </w:rPr>
        <w:t>Does an environmental policy exist in Bogotá? Main environmental problems.</w:t>
      </w:r>
      <w:r w:rsidRPr="00BD7DD4">
        <w:rPr>
          <w:i/>
          <w:iCs/>
          <w:lang w:val="en-US"/>
        </w:rPr>
        <w:t xml:space="preserve"> </w:t>
      </w:r>
      <w:r w:rsidRPr="00BD7DD4">
        <w:rPr>
          <w:lang w:val="en-US"/>
        </w:rPr>
        <w:t xml:space="preserve">Institute of Urban Studies National University of Colombia, Bogotá. </w:t>
      </w:r>
    </w:p>
    <w:p w14:paraId="2E502771" w14:textId="1A483734" w:rsidR="00B21FFA" w:rsidRDefault="00EF0561">
      <w:pPr>
        <w:pStyle w:val="CETReferencetext"/>
        <w:rPr>
          <w:lang w:val="en-US"/>
        </w:rPr>
      </w:pPr>
      <w:proofErr w:type="spellStart"/>
      <w:r w:rsidRPr="00CF523C">
        <w:rPr>
          <w:lang w:val="en-US"/>
        </w:rPr>
        <w:t>Boltic</w:t>
      </w:r>
      <w:proofErr w:type="spellEnd"/>
      <w:r w:rsidRPr="00CF523C">
        <w:rPr>
          <w:lang w:val="en-US"/>
        </w:rPr>
        <w:t xml:space="preserve"> Z., Ruzic N.</w:t>
      </w:r>
      <w:r>
        <w:rPr>
          <w:lang w:val="en-US"/>
        </w:rPr>
        <w:t xml:space="preserve">, </w:t>
      </w:r>
      <w:r w:rsidRPr="00CF523C">
        <w:rPr>
          <w:lang w:val="en-US"/>
        </w:rPr>
        <w:t>2013</w:t>
      </w:r>
      <w:r>
        <w:rPr>
          <w:lang w:val="en-US"/>
        </w:rPr>
        <w:t xml:space="preserve">, </w:t>
      </w:r>
      <w:r w:rsidRPr="00CF523C">
        <w:rPr>
          <w:lang w:val="en-US"/>
        </w:rPr>
        <w:t>Cleaner production aspects tablet coating process in pharmaceutical industry: problem of VOCs emission</w:t>
      </w:r>
      <w:r>
        <w:rPr>
          <w:lang w:val="en-US"/>
        </w:rPr>
        <w:t xml:space="preserve">, </w:t>
      </w:r>
      <w:r w:rsidRPr="00CF523C">
        <w:rPr>
          <w:lang w:val="en-US"/>
        </w:rPr>
        <w:t xml:space="preserve">Elsevier, 8. </w:t>
      </w:r>
    </w:p>
    <w:p w14:paraId="5F7A8C06" w14:textId="4E2111B1" w:rsidR="00B93A4F" w:rsidRPr="00B93A4F" w:rsidRDefault="00B93A4F" w:rsidP="00B93A4F">
      <w:pPr>
        <w:pStyle w:val="CETReferencetext"/>
        <w:rPr>
          <w:iCs/>
          <w:lang w:val="es-CO"/>
        </w:rPr>
      </w:pPr>
      <w:proofErr w:type="spellStart"/>
      <w:r w:rsidRPr="00B93A4F">
        <w:rPr>
          <w:lang w:val="es-CO"/>
        </w:rPr>
        <w:t>Camison</w:t>
      </w:r>
      <w:proofErr w:type="spellEnd"/>
      <w:r w:rsidRPr="00B93A4F">
        <w:rPr>
          <w:lang w:val="es-CO"/>
        </w:rPr>
        <w:t xml:space="preserve"> C., Cruz S., Gon</w:t>
      </w:r>
      <w:r>
        <w:rPr>
          <w:lang w:val="es-CO"/>
        </w:rPr>
        <w:t xml:space="preserve">zález T., 2006, </w:t>
      </w:r>
      <w:r w:rsidRPr="00B93A4F">
        <w:rPr>
          <w:iCs/>
          <w:lang w:val="es-CO"/>
        </w:rPr>
        <w:t>Gestión de la Calidad: conceptos, enfoques, modelos</w:t>
      </w:r>
      <w:r>
        <w:rPr>
          <w:iCs/>
          <w:lang w:val="es-CO"/>
        </w:rPr>
        <w:t xml:space="preserve"> </w:t>
      </w:r>
      <w:r w:rsidRPr="00B93A4F">
        <w:rPr>
          <w:iCs/>
          <w:lang w:val="es-CO"/>
        </w:rPr>
        <w:t>y sistemas</w:t>
      </w:r>
      <w:r>
        <w:rPr>
          <w:iCs/>
          <w:lang w:val="es-CO"/>
        </w:rPr>
        <w:t xml:space="preserve">, </w:t>
      </w:r>
      <w:r w:rsidRPr="00B93A4F">
        <w:rPr>
          <w:lang w:val="es-CO"/>
        </w:rPr>
        <w:t>Pearson Educación, S. A, Madrid</w:t>
      </w:r>
      <w:r>
        <w:rPr>
          <w:lang w:val="es-CO"/>
        </w:rPr>
        <w:t>.</w:t>
      </w:r>
    </w:p>
    <w:p w14:paraId="5405F4A3" w14:textId="6D78F3B3" w:rsidR="00B21FFA" w:rsidRDefault="00EF0561">
      <w:pPr>
        <w:pStyle w:val="CETReferencetext"/>
        <w:rPr>
          <w:lang w:val="en-US"/>
        </w:rPr>
      </w:pPr>
      <w:r w:rsidRPr="00CF523C">
        <w:rPr>
          <w:lang w:val="en-US"/>
        </w:rPr>
        <w:t>Colin C.J.</w:t>
      </w:r>
      <w:r>
        <w:rPr>
          <w:lang w:val="en-US"/>
        </w:rPr>
        <w:t xml:space="preserve">, </w:t>
      </w:r>
      <w:r w:rsidRPr="00CF523C">
        <w:rPr>
          <w:lang w:val="en-US"/>
        </w:rPr>
        <w:t xml:space="preserve">Chen </w:t>
      </w:r>
      <w:r w:rsidR="0067710D">
        <w:rPr>
          <w:lang w:val="en-US"/>
        </w:rPr>
        <w:t xml:space="preserve">L., </w:t>
      </w:r>
      <w:proofErr w:type="spellStart"/>
      <w:r w:rsidR="0067710D">
        <w:rPr>
          <w:lang w:val="en-US"/>
        </w:rPr>
        <w:t>Chwen</w:t>
      </w:r>
      <w:proofErr w:type="spellEnd"/>
      <w:r w:rsidR="0067710D">
        <w:rPr>
          <w:lang w:val="en-US"/>
        </w:rPr>
        <w:t xml:space="preserve"> S., </w:t>
      </w:r>
      <w:r w:rsidRPr="00CF523C">
        <w:rPr>
          <w:lang w:val="en-US"/>
        </w:rPr>
        <w:t>2014</w:t>
      </w:r>
      <w:r>
        <w:rPr>
          <w:lang w:val="en-US"/>
        </w:rPr>
        <w:t xml:space="preserve">, </w:t>
      </w:r>
      <w:r w:rsidRPr="00CF523C">
        <w:rPr>
          <w:lang w:val="en-US"/>
        </w:rPr>
        <w:t>The link between eco-innovation and business performance</w:t>
      </w:r>
      <w:r w:rsidR="00607C17">
        <w:rPr>
          <w:lang w:val="en-US"/>
        </w:rPr>
        <w:t>,</w:t>
      </w:r>
      <w:r w:rsidRPr="008C7439">
        <w:rPr>
          <w:lang w:val="en-US"/>
        </w:rPr>
        <w:t xml:space="preserve"> </w:t>
      </w:r>
      <w:r w:rsidRPr="008C7439">
        <w:rPr>
          <w:iCs/>
          <w:lang w:val="en-US"/>
        </w:rPr>
        <w:t>Journal of Cleaner Production</w:t>
      </w:r>
      <w:r w:rsidRPr="008C7439">
        <w:rPr>
          <w:lang w:val="en-US"/>
        </w:rPr>
        <w:t xml:space="preserve">, 85. </w:t>
      </w:r>
    </w:p>
    <w:p w14:paraId="3C37BB7E" w14:textId="5CCD21FD" w:rsidR="00607C17" w:rsidRPr="00607C17" w:rsidRDefault="00607C17" w:rsidP="00607C17">
      <w:pPr>
        <w:pStyle w:val="CETReferencetext"/>
        <w:rPr>
          <w:rFonts w:cs="Arial"/>
          <w:szCs w:val="18"/>
          <w:lang w:val="en-US"/>
        </w:rPr>
      </w:pPr>
      <w:r w:rsidRPr="00607C17">
        <w:rPr>
          <w:rFonts w:cs="Arial"/>
          <w:szCs w:val="18"/>
          <w:lang w:val="en-US"/>
        </w:rPr>
        <w:t>Duan H.,</w:t>
      </w:r>
      <w:r w:rsidRPr="00607C17">
        <w:rPr>
          <w:rFonts w:eastAsiaTheme="minorHAnsi" w:cs="Arial"/>
          <w:color w:val="231F20"/>
          <w:szCs w:val="18"/>
          <w:lang w:val="en-US"/>
        </w:rPr>
        <w:t xml:space="preserve"> </w:t>
      </w:r>
      <w:r w:rsidRPr="00607C17">
        <w:rPr>
          <w:rFonts w:cs="Arial"/>
          <w:szCs w:val="18"/>
          <w:lang w:val="en-US"/>
        </w:rPr>
        <w:t>Eugster M.,</w:t>
      </w:r>
      <w:r w:rsidRPr="00607C17">
        <w:rPr>
          <w:rFonts w:eastAsiaTheme="minorHAnsi" w:cs="Arial"/>
          <w:color w:val="231F20"/>
          <w:szCs w:val="18"/>
          <w:lang w:val="en-US"/>
        </w:rPr>
        <w:t xml:space="preserve"> </w:t>
      </w:r>
      <w:proofErr w:type="spellStart"/>
      <w:r w:rsidRPr="00607C17">
        <w:rPr>
          <w:rFonts w:cs="Arial"/>
          <w:szCs w:val="18"/>
          <w:lang w:val="en-US"/>
        </w:rPr>
        <w:t>Hischier</w:t>
      </w:r>
      <w:proofErr w:type="spellEnd"/>
      <w:r w:rsidRPr="00607C17">
        <w:rPr>
          <w:rFonts w:cs="Arial"/>
          <w:szCs w:val="18"/>
          <w:lang w:val="en-US"/>
        </w:rPr>
        <w:t xml:space="preserve"> R., Streicher-Porte M.,</w:t>
      </w:r>
      <w:r w:rsidRPr="00607C17">
        <w:rPr>
          <w:rFonts w:eastAsiaTheme="minorHAnsi" w:cs="Arial"/>
          <w:color w:val="231F20"/>
          <w:szCs w:val="18"/>
          <w:lang w:val="en-US"/>
        </w:rPr>
        <w:t xml:space="preserve"> </w:t>
      </w:r>
      <w:r w:rsidRPr="00607C17">
        <w:rPr>
          <w:rFonts w:cs="Arial"/>
          <w:szCs w:val="18"/>
          <w:lang w:val="en-US"/>
        </w:rPr>
        <w:t>Li J., 2009,</w:t>
      </w:r>
      <w:r w:rsidRPr="00607C17">
        <w:rPr>
          <w:rFonts w:eastAsiaTheme="minorHAnsi" w:cs="Arial"/>
          <w:color w:val="231F20"/>
          <w:szCs w:val="18"/>
          <w:lang w:val="en-US"/>
        </w:rPr>
        <w:t xml:space="preserve"> </w:t>
      </w:r>
      <w:r w:rsidRPr="00607C17">
        <w:rPr>
          <w:rFonts w:cs="Arial"/>
          <w:szCs w:val="18"/>
          <w:lang w:val="en-US"/>
        </w:rPr>
        <w:t>Life cycle assessment study of a Chinese desktop personal computer</w:t>
      </w:r>
      <w:r>
        <w:rPr>
          <w:rFonts w:cs="Arial"/>
          <w:szCs w:val="18"/>
          <w:lang w:val="en-US"/>
        </w:rPr>
        <w:t>,</w:t>
      </w:r>
      <w:r w:rsidRPr="00607C17">
        <w:rPr>
          <w:rFonts w:cs="Arial"/>
          <w:szCs w:val="18"/>
          <w:lang w:val="en-US"/>
        </w:rPr>
        <w:t xml:space="preserve"> </w:t>
      </w:r>
      <w:r>
        <w:rPr>
          <w:rFonts w:cs="Arial"/>
          <w:szCs w:val="18"/>
          <w:lang w:val="en-US"/>
        </w:rPr>
        <w:t>S</w:t>
      </w:r>
      <w:r w:rsidRPr="00607C17">
        <w:rPr>
          <w:rFonts w:cs="Arial"/>
          <w:szCs w:val="18"/>
          <w:lang w:val="en-US"/>
        </w:rPr>
        <w:t>cience of the total environment, 407,1755–1764</w:t>
      </w:r>
    </w:p>
    <w:p w14:paraId="03870236" w14:textId="50023618" w:rsidR="00B21FFA" w:rsidRPr="00BD7DD4" w:rsidRDefault="00EF0561">
      <w:pPr>
        <w:pStyle w:val="CETReferencetext"/>
        <w:rPr>
          <w:lang w:val="en-US"/>
        </w:rPr>
      </w:pPr>
      <w:r w:rsidRPr="00BD7DD4">
        <w:rPr>
          <w:lang w:val="en-US"/>
        </w:rPr>
        <w:t xml:space="preserve">Escolar A., 2018, Lead, Arsenic, Cadmium and Mercury: Effects and studies in Colombia, </w:t>
      </w:r>
      <w:r w:rsidR="00360514" w:rsidRPr="00BD7DD4">
        <w:rPr>
          <w:lang w:val="en-US"/>
        </w:rPr>
        <w:t xml:space="preserve">(Degree thesis) </w:t>
      </w:r>
      <w:r w:rsidRPr="00BD7DD4">
        <w:rPr>
          <w:lang w:val="en-US"/>
        </w:rPr>
        <w:t>Universidad de Los Andes</w:t>
      </w:r>
      <w:r w:rsidR="008C7439">
        <w:rPr>
          <w:lang w:val="en-US"/>
        </w:rPr>
        <w:t>.</w:t>
      </w:r>
    </w:p>
    <w:p w14:paraId="6D6C81CB" w14:textId="07819F24" w:rsidR="00B21FFA" w:rsidRDefault="00EF0561">
      <w:pPr>
        <w:pStyle w:val="CETReferencetext"/>
        <w:rPr>
          <w:lang w:val="en-US"/>
        </w:rPr>
      </w:pPr>
      <w:r w:rsidRPr="00BD7DD4">
        <w:rPr>
          <w:lang w:val="en-US"/>
        </w:rPr>
        <w:t>Fernandez</w:t>
      </w:r>
      <w:r w:rsidR="008C7439">
        <w:rPr>
          <w:lang w:val="en-US"/>
        </w:rPr>
        <w:t xml:space="preserve"> </w:t>
      </w:r>
      <w:r w:rsidRPr="00BD7DD4">
        <w:rPr>
          <w:lang w:val="en-US"/>
        </w:rPr>
        <w:t xml:space="preserve">J.M., 2019, Failure mode and effect analysis (FMEA) (Research paper), Universidad </w:t>
      </w:r>
      <w:proofErr w:type="spellStart"/>
      <w:r w:rsidRPr="00BD7DD4">
        <w:rPr>
          <w:lang w:val="en-US"/>
        </w:rPr>
        <w:t>Privada</w:t>
      </w:r>
      <w:proofErr w:type="spellEnd"/>
      <w:r w:rsidRPr="00BD7DD4">
        <w:rPr>
          <w:lang w:val="en-US"/>
        </w:rPr>
        <w:t xml:space="preserve"> del Norte</w:t>
      </w:r>
      <w:r w:rsidR="008C7439">
        <w:rPr>
          <w:lang w:val="en-US"/>
        </w:rPr>
        <w:t>.</w:t>
      </w:r>
    </w:p>
    <w:p w14:paraId="76BC4114" w14:textId="77777777" w:rsidR="00B21FFA" w:rsidRDefault="00EF0561">
      <w:pPr>
        <w:pStyle w:val="CETReferencetext"/>
        <w:rPr>
          <w:lang w:val="en-US"/>
        </w:rPr>
      </w:pPr>
      <w:r w:rsidRPr="00506578">
        <w:rPr>
          <w:lang w:val="en-US"/>
        </w:rPr>
        <w:t xml:space="preserve">Gracia J., Lara L., Quintero P., Santis A., 2018, Formulation of Strategies for the Implementation of Integral Management System Based on ISO 9001:2015 and 14001:2015 in the Company </w:t>
      </w:r>
      <w:proofErr w:type="spellStart"/>
      <w:r w:rsidRPr="00506578">
        <w:rPr>
          <w:lang w:val="en-US"/>
        </w:rPr>
        <w:t>Surtiapliques</w:t>
      </w:r>
      <w:proofErr w:type="spellEnd"/>
      <w:r w:rsidRPr="00506578">
        <w:rPr>
          <w:lang w:val="en-US"/>
        </w:rPr>
        <w:t xml:space="preserve"> (Bogotá-Colombia), Chemical Engineering Transactions, 67, 559-564.</w:t>
      </w:r>
    </w:p>
    <w:p w14:paraId="2F1991AE" w14:textId="55324D85" w:rsidR="00B21FFA" w:rsidRPr="00BD7DD4" w:rsidRDefault="00EF0561">
      <w:pPr>
        <w:pStyle w:val="CETReferencetext"/>
        <w:rPr>
          <w:lang w:val="en-US"/>
        </w:rPr>
      </w:pPr>
      <w:r w:rsidRPr="00BD7DD4">
        <w:rPr>
          <w:lang w:val="en-US"/>
        </w:rPr>
        <w:t>Gutiérrez</w:t>
      </w:r>
      <w:r w:rsidR="008C7439">
        <w:rPr>
          <w:lang w:val="en-US"/>
        </w:rPr>
        <w:t xml:space="preserve"> </w:t>
      </w:r>
      <w:r w:rsidR="00360514" w:rsidRPr="00BD7DD4">
        <w:rPr>
          <w:lang w:val="en-US"/>
        </w:rPr>
        <w:t>H.,2010,</w:t>
      </w:r>
      <w:r w:rsidR="008C7439">
        <w:rPr>
          <w:lang w:val="en-US"/>
        </w:rPr>
        <w:t xml:space="preserve"> </w:t>
      </w:r>
      <w:r w:rsidR="00360514" w:rsidRPr="00BD7DD4">
        <w:rPr>
          <w:lang w:val="en-US"/>
        </w:rPr>
        <w:t xml:space="preserve">Total Quality and Productivity, </w:t>
      </w:r>
      <w:r w:rsidR="008C7439">
        <w:rPr>
          <w:lang w:val="en-US"/>
        </w:rPr>
        <w:t>&lt;</w:t>
      </w:r>
      <w:hyperlink r:id="rId21" w:history="1">
        <w:r w:rsidR="004C60C9" w:rsidRPr="0063257A">
          <w:t>http://xlibros.com/wpcontent/uploads/2014/04/Calidad-total-y-productividad-3edi-Gutierrez_redacted.pdf</w:t>
        </w:r>
      </w:hyperlink>
      <w:r w:rsidR="008C7439" w:rsidRPr="0063257A">
        <w:t xml:space="preserve">&gt; </w:t>
      </w:r>
      <w:r w:rsidR="008C7439" w:rsidRPr="0063257A">
        <w:rPr>
          <w:lang w:val="en-US"/>
        </w:rPr>
        <w:t>a</w:t>
      </w:r>
      <w:proofErr w:type="spellStart"/>
      <w:r w:rsidR="008C7439" w:rsidRPr="006B4888">
        <w:t>ccessed</w:t>
      </w:r>
      <w:proofErr w:type="spellEnd"/>
      <w:r w:rsidR="008C7439" w:rsidRPr="006B4888">
        <w:t xml:space="preserve"> 2</w:t>
      </w:r>
      <w:r w:rsidR="004450FE">
        <w:t>1</w:t>
      </w:r>
      <w:r w:rsidR="008C7439" w:rsidRPr="006B4888">
        <w:t>.</w:t>
      </w:r>
      <w:r w:rsidR="008C7439">
        <w:t>0</w:t>
      </w:r>
      <w:r w:rsidR="004450FE">
        <w:t>8</w:t>
      </w:r>
      <w:r w:rsidR="008C7439">
        <w:t>.20</w:t>
      </w:r>
      <w:r w:rsidR="004450FE">
        <w:t>21.</w:t>
      </w:r>
    </w:p>
    <w:p w14:paraId="02F68BF8" w14:textId="5AA90329" w:rsidR="00B21FFA" w:rsidRDefault="00EF0561">
      <w:pPr>
        <w:pStyle w:val="CETReferencetext"/>
        <w:rPr>
          <w:lang w:val="en-US"/>
        </w:rPr>
      </w:pPr>
      <w:r w:rsidRPr="00BD7DD4">
        <w:rPr>
          <w:lang w:val="en-US"/>
        </w:rPr>
        <w:t>Hoof, B. et.al., 2015, Cleaner production tools</w:t>
      </w:r>
      <w:r w:rsidR="004450FE">
        <w:rPr>
          <w:lang w:val="en-US"/>
        </w:rPr>
        <w:t xml:space="preserve">, </w:t>
      </w:r>
      <w:proofErr w:type="spellStart"/>
      <w:r w:rsidRPr="0011155B">
        <w:rPr>
          <w:lang w:val="en-US"/>
        </w:rPr>
        <w:t>Alfaomega</w:t>
      </w:r>
      <w:proofErr w:type="spellEnd"/>
      <w:r w:rsidR="004450FE">
        <w:rPr>
          <w:lang w:val="en-US"/>
        </w:rPr>
        <w:t>, Bogotá.</w:t>
      </w:r>
      <w:r w:rsidRPr="0011155B">
        <w:rPr>
          <w:lang w:val="en-US"/>
        </w:rPr>
        <w:t xml:space="preserve"> </w:t>
      </w:r>
    </w:p>
    <w:p w14:paraId="20EB26D2" w14:textId="0D628340" w:rsidR="004450FE" w:rsidRDefault="004450FE">
      <w:pPr>
        <w:pStyle w:val="CETReferencetext"/>
        <w:rPr>
          <w:lang w:val="en-US"/>
        </w:rPr>
      </w:pPr>
      <w:r>
        <w:t>Marmo L., Danzi E., 2018, Metal Waste Dusts from Mechanical Workings – Explosibility Parameters Investigation, Chemical engineering transactions, 67, 205.</w:t>
      </w:r>
    </w:p>
    <w:p w14:paraId="47644EB5" w14:textId="0E90E074" w:rsidR="00B21FFA" w:rsidRDefault="00EF0561">
      <w:pPr>
        <w:pStyle w:val="CETReferencetext"/>
        <w:rPr>
          <w:lang w:val="en-US"/>
        </w:rPr>
      </w:pPr>
      <w:r w:rsidRPr="004C60C9">
        <w:rPr>
          <w:lang w:val="en-US"/>
        </w:rPr>
        <w:t>Murakami</w:t>
      </w:r>
      <w:r w:rsidR="004450FE">
        <w:rPr>
          <w:lang w:val="en-US"/>
        </w:rPr>
        <w:t xml:space="preserve"> </w:t>
      </w:r>
      <w:r w:rsidRPr="004C60C9">
        <w:rPr>
          <w:lang w:val="en-US"/>
        </w:rPr>
        <w:t>S., Nakatani</w:t>
      </w:r>
      <w:r w:rsidR="004450FE">
        <w:rPr>
          <w:lang w:val="en-US"/>
        </w:rPr>
        <w:t xml:space="preserve"> </w:t>
      </w:r>
      <w:r w:rsidRPr="004C60C9">
        <w:rPr>
          <w:lang w:val="en-US"/>
        </w:rPr>
        <w:t>J., Nakajima</w:t>
      </w:r>
      <w:r w:rsidR="004450FE">
        <w:rPr>
          <w:lang w:val="en-US"/>
        </w:rPr>
        <w:t xml:space="preserve"> </w:t>
      </w:r>
      <w:r w:rsidRPr="004C60C9">
        <w:rPr>
          <w:lang w:val="en-US"/>
        </w:rPr>
        <w:t>K.</w:t>
      </w:r>
      <w:r w:rsidR="004450FE">
        <w:rPr>
          <w:lang w:val="en-US"/>
        </w:rPr>
        <w:t>,</w:t>
      </w:r>
      <w:r w:rsidRPr="004C60C9">
        <w:rPr>
          <w:lang w:val="en-US"/>
        </w:rPr>
        <w:t xml:space="preserve"> </w:t>
      </w:r>
      <w:r w:rsidRPr="004C60C9">
        <w:rPr>
          <w:i/>
          <w:iCs/>
          <w:lang w:val="en-US"/>
        </w:rPr>
        <w:t xml:space="preserve">et al., </w:t>
      </w:r>
      <w:r>
        <w:rPr>
          <w:iCs/>
          <w:lang w:val="en-US"/>
        </w:rPr>
        <w:t>2019</w:t>
      </w:r>
      <w:r w:rsidRPr="004C60C9">
        <w:rPr>
          <w:iCs/>
          <w:lang w:val="en-US"/>
        </w:rPr>
        <w:t xml:space="preserve">, </w:t>
      </w:r>
      <w:proofErr w:type="spellStart"/>
      <w:r w:rsidRPr="004C60C9">
        <w:t>EcoBalance</w:t>
      </w:r>
      <w:proofErr w:type="spellEnd"/>
      <w:r w:rsidRPr="004C60C9">
        <w:t xml:space="preserve"> </w:t>
      </w:r>
      <w:r>
        <w:t xml:space="preserve">2018, </w:t>
      </w:r>
      <w:r w:rsidRPr="004C60C9">
        <w:t>Nexus of ideas: innovation by linking through life cycle thinking (9-12 October 2018, Tokyo, Japan)</w:t>
      </w:r>
      <w:r w:rsidR="00B93A4F">
        <w:t>,</w:t>
      </w:r>
      <w:r w:rsidRPr="004C60C9">
        <w:t xml:space="preserve"> </w:t>
      </w:r>
      <w:r w:rsidRPr="004450FE">
        <w:rPr>
          <w:iCs/>
        </w:rPr>
        <w:t>Int J Life Cycle Assess</w:t>
      </w:r>
      <w:r w:rsidR="00B93A4F">
        <w:rPr>
          <w:iCs/>
        </w:rPr>
        <w:t>,</w:t>
      </w:r>
      <w:r w:rsidRPr="004450FE">
        <w:rPr>
          <w:iCs/>
        </w:rPr>
        <w:t xml:space="preserve"> </w:t>
      </w:r>
      <w:r w:rsidRPr="004450FE">
        <w:rPr>
          <w:bCs/>
        </w:rPr>
        <w:t>24</w:t>
      </w:r>
      <w:r w:rsidRPr="004450FE">
        <w:rPr>
          <w:b/>
          <w:bCs/>
        </w:rPr>
        <w:t>,</w:t>
      </w:r>
      <w:r w:rsidRPr="004C60C9">
        <w:rPr>
          <w:b/>
          <w:bCs/>
        </w:rPr>
        <w:t xml:space="preserve"> </w:t>
      </w:r>
      <w:r w:rsidRPr="004C60C9">
        <w:t>1544-1552</w:t>
      </w:r>
      <w:r w:rsidR="004450FE">
        <w:t>.</w:t>
      </w:r>
    </w:p>
    <w:p w14:paraId="6E2C56A3" w14:textId="5E6714C7" w:rsidR="00B21FFA" w:rsidRDefault="00EF0561">
      <w:pPr>
        <w:pStyle w:val="CETReferencetext"/>
        <w:rPr>
          <w:rFonts w:cs="Arial"/>
          <w:lang w:val="en-US"/>
        </w:rPr>
      </w:pPr>
      <w:r w:rsidRPr="00BD7DD4">
        <w:rPr>
          <w:rFonts w:cs="Arial"/>
          <w:lang w:val="en-US"/>
        </w:rPr>
        <w:t>López P.</w:t>
      </w:r>
      <w:r w:rsidR="0011155B" w:rsidRPr="00BD7DD4">
        <w:rPr>
          <w:rFonts w:cs="Arial"/>
          <w:lang w:val="en-US"/>
        </w:rPr>
        <w:t>,</w:t>
      </w:r>
      <w:r w:rsidR="004450FE">
        <w:rPr>
          <w:rFonts w:cs="Arial"/>
          <w:lang w:val="en-US"/>
        </w:rPr>
        <w:t xml:space="preserve"> </w:t>
      </w:r>
      <w:r w:rsidRPr="00BD7DD4">
        <w:rPr>
          <w:rFonts w:cs="Arial"/>
          <w:lang w:val="en-US"/>
        </w:rPr>
        <w:t>2016</w:t>
      </w:r>
      <w:r w:rsidR="0011155B" w:rsidRPr="00BD7DD4">
        <w:rPr>
          <w:rFonts w:cs="Arial"/>
          <w:lang w:val="en-US"/>
        </w:rPr>
        <w:t xml:space="preserve">, </w:t>
      </w:r>
      <w:r w:rsidRPr="00BD7DD4">
        <w:rPr>
          <w:rFonts w:cs="Arial"/>
          <w:lang w:val="en-US"/>
        </w:rPr>
        <w:t>Tools for quality improvement</w:t>
      </w:r>
      <w:r w:rsidR="00B93A4F">
        <w:rPr>
          <w:rFonts w:cs="Arial"/>
          <w:lang w:val="en-US"/>
        </w:rPr>
        <w:t>,</w:t>
      </w:r>
      <w:r w:rsidRPr="00BD7DD4">
        <w:rPr>
          <w:lang w:val="en-US"/>
        </w:rPr>
        <w:t xml:space="preserve"> </w:t>
      </w:r>
      <w:hyperlink r:id="rId22" w:history="1">
        <w:proofErr w:type="spellStart"/>
        <w:r w:rsidRPr="00BD7DD4">
          <w:rPr>
            <w:lang w:val="en-US"/>
          </w:rPr>
          <w:t>Confemetal</w:t>
        </w:r>
        <w:proofErr w:type="spellEnd"/>
        <w:r w:rsidR="004450FE">
          <w:rPr>
            <w:lang w:val="en-US"/>
          </w:rPr>
          <w:t xml:space="preserve"> </w:t>
        </w:r>
        <w:r w:rsidRPr="00BD7DD4">
          <w:rPr>
            <w:lang w:val="en-US"/>
          </w:rPr>
          <w:t>Foundation</w:t>
        </w:r>
      </w:hyperlink>
      <w:r w:rsidR="004450FE">
        <w:rPr>
          <w:rFonts w:cs="Arial"/>
          <w:lang w:val="en-US"/>
        </w:rPr>
        <w:t xml:space="preserve">, </w:t>
      </w:r>
      <w:r w:rsidRPr="00BD7DD4">
        <w:rPr>
          <w:rFonts w:cs="Arial"/>
          <w:lang w:val="en-US"/>
        </w:rPr>
        <w:t>Madrid</w:t>
      </w:r>
      <w:r w:rsidR="004450FE">
        <w:rPr>
          <w:rFonts w:cs="Arial"/>
          <w:lang w:val="en-US"/>
        </w:rPr>
        <w:t>,</w:t>
      </w:r>
      <w:r w:rsidRPr="00BD7DD4">
        <w:rPr>
          <w:rFonts w:cs="Arial"/>
          <w:lang w:val="en-US"/>
        </w:rPr>
        <w:t xml:space="preserve"> Spain</w:t>
      </w:r>
      <w:r w:rsidR="004450FE">
        <w:rPr>
          <w:rFonts w:cs="Arial"/>
          <w:lang w:val="en-US"/>
        </w:rPr>
        <w:t>,</w:t>
      </w:r>
      <w:r w:rsidRPr="00BD7DD4">
        <w:rPr>
          <w:rFonts w:cs="Arial"/>
          <w:lang w:val="en-US"/>
        </w:rPr>
        <w:t xml:space="preserve"> </w:t>
      </w:r>
      <w:r w:rsidRPr="0011155B">
        <w:rPr>
          <w:rFonts w:cs="Arial"/>
          <w:lang w:val="en-US"/>
        </w:rPr>
        <w:t>247</w:t>
      </w:r>
      <w:r w:rsidR="004450FE">
        <w:rPr>
          <w:rFonts w:cs="Arial"/>
          <w:lang w:val="en-US"/>
        </w:rPr>
        <w:t>.</w:t>
      </w:r>
    </w:p>
    <w:p w14:paraId="3394FA2C" w14:textId="38AA6C60" w:rsidR="000A68CB" w:rsidRPr="000A68CB" w:rsidRDefault="000A68CB" w:rsidP="000A68CB">
      <w:pPr>
        <w:pStyle w:val="CETReferencetext"/>
        <w:rPr>
          <w:rFonts w:cs="Arial"/>
          <w:lang w:val="en-US"/>
        </w:rPr>
      </w:pPr>
      <w:proofErr w:type="spellStart"/>
      <w:r w:rsidRPr="000A68CB">
        <w:rPr>
          <w:rFonts w:cs="Arial"/>
          <w:lang w:val="en-US"/>
        </w:rPr>
        <w:t>Socolof</w:t>
      </w:r>
      <w:proofErr w:type="spellEnd"/>
      <w:r w:rsidRPr="000A68CB">
        <w:rPr>
          <w:rFonts w:cs="Arial"/>
          <w:lang w:val="en-US"/>
        </w:rPr>
        <w:t xml:space="preserve"> M</w:t>
      </w:r>
      <w:r>
        <w:rPr>
          <w:rFonts w:cs="Arial"/>
          <w:lang w:val="en-US"/>
        </w:rPr>
        <w:t xml:space="preserve">., </w:t>
      </w:r>
      <w:r w:rsidRPr="000A68CB">
        <w:rPr>
          <w:rFonts w:cs="Arial"/>
          <w:lang w:val="en-US"/>
        </w:rPr>
        <w:t>Overly J., Geibig</w:t>
      </w:r>
      <w:r>
        <w:rPr>
          <w:rFonts w:cs="Arial"/>
          <w:lang w:val="en-US"/>
        </w:rPr>
        <w:t xml:space="preserve"> J., 2005, </w:t>
      </w:r>
      <w:r w:rsidRPr="000A68CB">
        <w:rPr>
          <w:rFonts w:cs="Arial"/>
          <w:lang w:val="en-US"/>
        </w:rPr>
        <w:t>Environmental life-cycle impacts of CRT and</w:t>
      </w:r>
      <w:r>
        <w:rPr>
          <w:rFonts w:cs="Arial"/>
          <w:lang w:val="en-US"/>
        </w:rPr>
        <w:t xml:space="preserve"> </w:t>
      </w:r>
      <w:r w:rsidRPr="000A68CB">
        <w:rPr>
          <w:rFonts w:cs="Arial"/>
          <w:lang w:val="en-US"/>
        </w:rPr>
        <w:t>LCD desktop computer displays</w:t>
      </w:r>
      <w:r>
        <w:rPr>
          <w:rFonts w:cs="Arial"/>
          <w:lang w:val="en-US"/>
        </w:rPr>
        <w:t xml:space="preserve">, </w:t>
      </w:r>
      <w:r w:rsidRPr="000A68CB">
        <w:rPr>
          <w:rFonts w:cs="Arial"/>
          <w:lang w:val="en-US"/>
        </w:rPr>
        <w:t>Journal of Cleaner Production</w:t>
      </w:r>
      <w:r>
        <w:rPr>
          <w:rFonts w:cs="Arial"/>
          <w:lang w:val="en-US"/>
        </w:rPr>
        <w:t>,</w:t>
      </w:r>
      <w:r w:rsidRPr="000A68CB">
        <w:rPr>
          <w:rFonts w:cs="Arial"/>
          <w:lang w:val="en-US"/>
        </w:rPr>
        <w:t xml:space="preserve"> 13</w:t>
      </w:r>
      <w:r>
        <w:rPr>
          <w:rFonts w:cs="Arial"/>
          <w:lang w:val="en-US"/>
        </w:rPr>
        <w:t>,</w:t>
      </w:r>
      <w:r w:rsidRPr="000A68CB">
        <w:rPr>
          <w:rFonts w:cs="Arial"/>
          <w:lang w:val="en-US"/>
        </w:rPr>
        <w:t xml:space="preserve"> 1281</w:t>
      </w:r>
      <w:r>
        <w:rPr>
          <w:rFonts w:cs="Arial"/>
          <w:lang w:val="en-US"/>
        </w:rPr>
        <w:t>-</w:t>
      </w:r>
      <w:r w:rsidRPr="000A68CB">
        <w:rPr>
          <w:rFonts w:cs="Arial"/>
          <w:lang w:val="en-US"/>
        </w:rPr>
        <w:t>1294</w:t>
      </w:r>
      <w:r>
        <w:rPr>
          <w:rFonts w:cs="Arial"/>
          <w:lang w:val="en-US"/>
        </w:rPr>
        <w:t>.</w:t>
      </w:r>
    </w:p>
    <w:p w14:paraId="4CFCFFD8" w14:textId="11EBB33F" w:rsidR="00607C17" w:rsidRPr="00607C17" w:rsidRDefault="00607C17" w:rsidP="00607C17">
      <w:pPr>
        <w:pStyle w:val="CETReferencetext"/>
        <w:rPr>
          <w:i/>
          <w:iCs/>
          <w:lang w:val="en-US"/>
        </w:rPr>
      </w:pPr>
      <w:r w:rsidRPr="00607C17">
        <w:rPr>
          <w:lang w:val="en-US"/>
        </w:rPr>
        <w:t>Straker D.</w:t>
      </w:r>
      <w:r>
        <w:rPr>
          <w:lang w:val="en-US"/>
        </w:rPr>
        <w:t>,</w:t>
      </w:r>
      <w:r w:rsidRPr="00607C17">
        <w:rPr>
          <w:lang w:val="en-US"/>
        </w:rPr>
        <w:t xml:space="preserve"> 1995, </w:t>
      </w:r>
      <w:r w:rsidRPr="00B93A4F">
        <w:rPr>
          <w:iCs/>
          <w:lang w:val="en-US"/>
        </w:rPr>
        <w:t xml:space="preserve">A </w:t>
      </w:r>
      <w:proofErr w:type="spellStart"/>
      <w:r w:rsidRPr="00B93A4F">
        <w:rPr>
          <w:iCs/>
          <w:lang w:val="en-US"/>
        </w:rPr>
        <w:t>toolbook</w:t>
      </w:r>
      <w:proofErr w:type="spellEnd"/>
      <w:r w:rsidRPr="00B93A4F">
        <w:rPr>
          <w:iCs/>
          <w:lang w:val="en-US"/>
        </w:rPr>
        <w:t xml:space="preserve"> for Quality Improvement and Problem Solving</w:t>
      </w:r>
      <w:r w:rsidR="00B93A4F">
        <w:rPr>
          <w:iCs/>
          <w:lang w:val="en-US"/>
        </w:rPr>
        <w:t xml:space="preserve">, </w:t>
      </w:r>
      <w:r w:rsidRPr="00607C17">
        <w:rPr>
          <w:lang w:val="en-US"/>
        </w:rPr>
        <w:t>Prentice Hall, UK.</w:t>
      </w:r>
    </w:p>
    <w:p w14:paraId="360496BD" w14:textId="7ECE4A73" w:rsidR="00B21FFA" w:rsidRDefault="00EF0561">
      <w:pPr>
        <w:pStyle w:val="CETReferencetext"/>
        <w:rPr>
          <w:rStyle w:val="title-text"/>
        </w:rPr>
      </w:pPr>
      <w:r w:rsidRPr="0011155B">
        <w:t xml:space="preserve">Van Fan Y., Huin Ch J., Klemes J., </w:t>
      </w:r>
      <w:proofErr w:type="spellStart"/>
      <w:r w:rsidRPr="0011155B">
        <w:t>Sabev</w:t>
      </w:r>
      <w:proofErr w:type="spellEnd"/>
      <w:r w:rsidRPr="0011155B">
        <w:t xml:space="preserve"> P., Lui X., 2020, </w:t>
      </w:r>
      <w:r w:rsidR="0011155B" w:rsidRPr="0011155B">
        <w:rPr>
          <w:rStyle w:val="title-text"/>
        </w:rPr>
        <w:t>Optimisation and process design tools for cleaner production</w:t>
      </w:r>
      <w:r w:rsidR="0011155B">
        <w:rPr>
          <w:rStyle w:val="title-text"/>
        </w:rPr>
        <w:t xml:space="preserve">, </w:t>
      </w:r>
      <w:hyperlink r:id="rId23" w:tooltip="Go to Journal of Cleaner Production on ScienceDirect" w:history="1">
        <w:r w:rsidR="0011155B" w:rsidRPr="0011155B">
          <w:rPr>
            <w:lang w:val="en-US"/>
          </w:rPr>
          <w:t>Journal of Cleaner Production</w:t>
        </w:r>
      </w:hyperlink>
      <w:r w:rsidR="0011155B" w:rsidRPr="0011155B">
        <w:t>,</w:t>
      </w:r>
      <w:r w:rsidR="0011155B">
        <w:rPr>
          <w:rStyle w:val="title-text"/>
        </w:rPr>
        <w:t xml:space="preserve"> 247,20</w:t>
      </w:r>
      <w:r w:rsidR="004450FE">
        <w:rPr>
          <w:rStyle w:val="title-text"/>
        </w:rPr>
        <w:t>.</w:t>
      </w:r>
    </w:p>
    <w:p w14:paraId="5B2EAC5E" w14:textId="3B6FE13F" w:rsidR="00607C17" w:rsidRPr="00607C17" w:rsidRDefault="00607C17" w:rsidP="00607C17">
      <w:pPr>
        <w:pStyle w:val="CETReferencetext"/>
        <w:rPr>
          <w:rFonts w:cs="Arial"/>
          <w:i/>
          <w:iCs/>
          <w:lang w:val="es-CO"/>
        </w:rPr>
      </w:pPr>
      <w:r w:rsidRPr="00607C17">
        <w:rPr>
          <w:rFonts w:cs="Arial"/>
          <w:lang w:val="es-CO"/>
        </w:rPr>
        <w:t>Vilar J F.</w:t>
      </w:r>
      <w:r>
        <w:rPr>
          <w:rFonts w:cs="Arial"/>
          <w:lang w:val="es-CO"/>
        </w:rPr>
        <w:t>,</w:t>
      </w:r>
      <w:r w:rsidRPr="00607C17">
        <w:rPr>
          <w:rFonts w:cs="Arial"/>
          <w:lang w:val="es-CO"/>
        </w:rPr>
        <w:t xml:space="preserve"> 1998, </w:t>
      </w:r>
      <w:r w:rsidRPr="00607C17">
        <w:rPr>
          <w:rFonts w:cs="Arial"/>
          <w:iCs/>
          <w:lang w:val="es-CO"/>
        </w:rPr>
        <w:t>Las 7 nuevas herramientas para la mejora de la calidad</w:t>
      </w:r>
      <w:r w:rsidR="00CA76F5">
        <w:rPr>
          <w:rFonts w:cs="Arial"/>
          <w:iCs/>
          <w:lang w:val="es-CO"/>
        </w:rPr>
        <w:t>,</w:t>
      </w:r>
      <w:r w:rsidRPr="00607C17">
        <w:rPr>
          <w:rFonts w:cs="Arial"/>
          <w:i/>
          <w:iCs/>
          <w:lang w:val="es-CO"/>
        </w:rPr>
        <w:t xml:space="preserve"> </w:t>
      </w:r>
      <w:r w:rsidRPr="00607C17">
        <w:rPr>
          <w:rFonts w:cs="Arial"/>
          <w:lang w:val="es-CO"/>
        </w:rPr>
        <w:t xml:space="preserve">Fundación </w:t>
      </w:r>
      <w:proofErr w:type="spellStart"/>
      <w:r w:rsidRPr="00607C17">
        <w:rPr>
          <w:rFonts w:cs="Arial"/>
          <w:lang w:val="es-CO"/>
        </w:rPr>
        <w:t>Confemetal</w:t>
      </w:r>
      <w:proofErr w:type="spellEnd"/>
      <w:r w:rsidRPr="00607C17">
        <w:rPr>
          <w:rFonts w:cs="Arial"/>
          <w:lang w:val="es-CO"/>
        </w:rPr>
        <w:t>, Madrid.</w:t>
      </w:r>
    </w:p>
    <w:p w14:paraId="69179D4F" w14:textId="77777777" w:rsidR="00BB4E85" w:rsidRPr="00607C17" w:rsidRDefault="00BB4E85" w:rsidP="0011155B">
      <w:pPr>
        <w:pStyle w:val="CETReferencetext"/>
        <w:rPr>
          <w:lang w:val="es-CO"/>
        </w:rPr>
      </w:pPr>
    </w:p>
    <w:sectPr w:rsidR="00BB4E85" w:rsidRPr="00607C1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1DDA" w14:textId="77777777" w:rsidR="00C81E30" w:rsidRDefault="00C81E30" w:rsidP="004F5E36">
      <w:r>
        <w:separator/>
      </w:r>
    </w:p>
  </w:endnote>
  <w:endnote w:type="continuationSeparator" w:id="0">
    <w:p w14:paraId="033C8769" w14:textId="77777777" w:rsidR="00C81E30" w:rsidRDefault="00C81E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1385" w14:textId="77777777" w:rsidR="00C81E30" w:rsidRDefault="00C81E30" w:rsidP="004F5E36">
      <w:r>
        <w:separator/>
      </w:r>
    </w:p>
  </w:footnote>
  <w:footnote w:type="continuationSeparator" w:id="0">
    <w:p w14:paraId="6D1F866F" w14:textId="77777777" w:rsidR="00C81E30" w:rsidRDefault="00C81E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7513"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3269E9"/>
    <w:multiLevelType w:val="multilevel"/>
    <w:tmpl w:val="96A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DA8"/>
    <w:rsid w:val="000027C0"/>
    <w:rsid w:val="000052FB"/>
    <w:rsid w:val="0001104D"/>
    <w:rsid w:val="00011150"/>
    <w:rsid w:val="000117CB"/>
    <w:rsid w:val="0003148D"/>
    <w:rsid w:val="00031BDA"/>
    <w:rsid w:val="00031EEC"/>
    <w:rsid w:val="00037FC4"/>
    <w:rsid w:val="00051566"/>
    <w:rsid w:val="00052669"/>
    <w:rsid w:val="00062A9A"/>
    <w:rsid w:val="00065058"/>
    <w:rsid w:val="0007770D"/>
    <w:rsid w:val="000777E4"/>
    <w:rsid w:val="0008170E"/>
    <w:rsid w:val="00081B7C"/>
    <w:rsid w:val="000835C6"/>
    <w:rsid w:val="00086C39"/>
    <w:rsid w:val="00091609"/>
    <w:rsid w:val="000A03B2"/>
    <w:rsid w:val="000A0E96"/>
    <w:rsid w:val="000A6153"/>
    <w:rsid w:val="000A68CB"/>
    <w:rsid w:val="000B24AF"/>
    <w:rsid w:val="000C0215"/>
    <w:rsid w:val="000C3731"/>
    <w:rsid w:val="000D0268"/>
    <w:rsid w:val="000D34BE"/>
    <w:rsid w:val="000D3C4F"/>
    <w:rsid w:val="000E102F"/>
    <w:rsid w:val="000E36F1"/>
    <w:rsid w:val="000E3A73"/>
    <w:rsid w:val="000E414A"/>
    <w:rsid w:val="000F093C"/>
    <w:rsid w:val="000F1DE6"/>
    <w:rsid w:val="000F787B"/>
    <w:rsid w:val="00106C47"/>
    <w:rsid w:val="00106F4F"/>
    <w:rsid w:val="001100A0"/>
    <w:rsid w:val="0011155B"/>
    <w:rsid w:val="00111E1E"/>
    <w:rsid w:val="0012091F"/>
    <w:rsid w:val="00125B89"/>
    <w:rsid w:val="00125FB0"/>
    <w:rsid w:val="00126831"/>
    <w:rsid w:val="00126BC2"/>
    <w:rsid w:val="001308B6"/>
    <w:rsid w:val="0013121F"/>
    <w:rsid w:val="00131FE6"/>
    <w:rsid w:val="0013263F"/>
    <w:rsid w:val="001331DF"/>
    <w:rsid w:val="00134DE4"/>
    <w:rsid w:val="0014034D"/>
    <w:rsid w:val="00140618"/>
    <w:rsid w:val="00144D16"/>
    <w:rsid w:val="00150E59"/>
    <w:rsid w:val="00152DE3"/>
    <w:rsid w:val="00152EC5"/>
    <w:rsid w:val="00164CF9"/>
    <w:rsid w:val="001667A6"/>
    <w:rsid w:val="001736A1"/>
    <w:rsid w:val="00182221"/>
    <w:rsid w:val="0018288B"/>
    <w:rsid w:val="00184AD6"/>
    <w:rsid w:val="00187B38"/>
    <w:rsid w:val="00192707"/>
    <w:rsid w:val="001927B6"/>
    <w:rsid w:val="0019311F"/>
    <w:rsid w:val="001A22C2"/>
    <w:rsid w:val="001A3B47"/>
    <w:rsid w:val="001A4AF7"/>
    <w:rsid w:val="001B0349"/>
    <w:rsid w:val="001B1E93"/>
    <w:rsid w:val="001B4ED6"/>
    <w:rsid w:val="001B65C1"/>
    <w:rsid w:val="001B72B9"/>
    <w:rsid w:val="001C684B"/>
    <w:rsid w:val="001D0CFB"/>
    <w:rsid w:val="001D458D"/>
    <w:rsid w:val="001D53FC"/>
    <w:rsid w:val="001E4F74"/>
    <w:rsid w:val="001F42A5"/>
    <w:rsid w:val="001F4A70"/>
    <w:rsid w:val="001F7B9D"/>
    <w:rsid w:val="002012BA"/>
    <w:rsid w:val="00201C93"/>
    <w:rsid w:val="00214AFF"/>
    <w:rsid w:val="002224B4"/>
    <w:rsid w:val="00224574"/>
    <w:rsid w:val="00232852"/>
    <w:rsid w:val="00241A19"/>
    <w:rsid w:val="00244280"/>
    <w:rsid w:val="002447EF"/>
    <w:rsid w:val="00245DFD"/>
    <w:rsid w:val="00250FCC"/>
    <w:rsid w:val="00251550"/>
    <w:rsid w:val="00253617"/>
    <w:rsid w:val="00261755"/>
    <w:rsid w:val="00263B05"/>
    <w:rsid w:val="0027221A"/>
    <w:rsid w:val="00275B61"/>
    <w:rsid w:val="00280FAF"/>
    <w:rsid w:val="002822EB"/>
    <w:rsid w:val="00282656"/>
    <w:rsid w:val="00296B83"/>
    <w:rsid w:val="002B1CC6"/>
    <w:rsid w:val="002B4015"/>
    <w:rsid w:val="002B78CE"/>
    <w:rsid w:val="002C2FB6"/>
    <w:rsid w:val="002C38EE"/>
    <w:rsid w:val="002C61FD"/>
    <w:rsid w:val="002E0D4E"/>
    <w:rsid w:val="002E5FA7"/>
    <w:rsid w:val="002F3309"/>
    <w:rsid w:val="003008CE"/>
    <w:rsid w:val="003009B7"/>
    <w:rsid w:val="00300CD3"/>
    <w:rsid w:val="00300E56"/>
    <w:rsid w:val="0030469C"/>
    <w:rsid w:val="00305699"/>
    <w:rsid w:val="00321CA6"/>
    <w:rsid w:val="00323763"/>
    <w:rsid w:val="00331CFE"/>
    <w:rsid w:val="0033458E"/>
    <w:rsid w:val="00334C09"/>
    <w:rsid w:val="0034293B"/>
    <w:rsid w:val="00347B03"/>
    <w:rsid w:val="0035584B"/>
    <w:rsid w:val="00360514"/>
    <w:rsid w:val="0037219D"/>
    <w:rsid w:val="003723D4"/>
    <w:rsid w:val="00381905"/>
    <w:rsid w:val="00384CC8"/>
    <w:rsid w:val="00386739"/>
    <w:rsid w:val="003871FD"/>
    <w:rsid w:val="00392348"/>
    <w:rsid w:val="003A1DA9"/>
    <w:rsid w:val="003A1E30"/>
    <w:rsid w:val="003A2829"/>
    <w:rsid w:val="003A7D1C"/>
    <w:rsid w:val="003B304B"/>
    <w:rsid w:val="003B3146"/>
    <w:rsid w:val="003C0F3A"/>
    <w:rsid w:val="003C41CE"/>
    <w:rsid w:val="003D304A"/>
    <w:rsid w:val="003D31AC"/>
    <w:rsid w:val="003F015E"/>
    <w:rsid w:val="003F0B65"/>
    <w:rsid w:val="003F60B5"/>
    <w:rsid w:val="003F6FF5"/>
    <w:rsid w:val="00400414"/>
    <w:rsid w:val="00410DE0"/>
    <w:rsid w:val="00412E90"/>
    <w:rsid w:val="0041446B"/>
    <w:rsid w:val="00431392"/>
    <w:rsid w:val="0044329C"/>
    <w:rsid w:val="004450C0"/>
    <w:rsid w:val="004450FE"/>
    <w:rsid w:val="00452376"/>
    <w:rsid w:val="00453E24"/>
    <w:rsid w:val="00457456"/>
    <w:rsid w:val="004577FE"/>
    <w:rsid w:val="00457B9C"/>
    <w:rsid w:val="0046164A"/>
    <w:rsid w:val="004628D2"/>
    <w:rsid w:val="00462DCD"/>
    <w:rsid w:val="004648AD"/>
    <w:rsid w:val="004703A9"/>
    <w:rsid w:val="004760DE"/>
    <w:rsid w:val="004763D7"/>
    <w:rsid w:val="00485EE4"/>
    <w:rsid w:val="004873CE"/>
    <w:rsid w:val="004A004E"/>
    <w:rsid w:val="004A19C2"/>
    <w:rsid w:val="004A24CF"/>
    <w:rsid w:val="004B439D"/>
    <w:rsid w:val="004B4F88"/>
    <w:rsid w:val="004C3146"/>
    <w:rsid w:val="004C3D1D"/>
    <w:rsid w:val="004C60C9"/>
    <w:rsid w:val="004C6966"/>
    <w:rsid w:val="004C7913"/>
    <w:rsid w:val="004D51D1"/>
    <w:rsid w:val="004D55C0"/>
    <w:rsid w:val="004D6782"/>
    <w:rsid w:val="004E016F"/>
    <w:rsid w:val="004E1003"/>
    <w:rsid w:val="004E4DD6"/>
    <w:rsid w:val="004F5E36"/>
    <w:rsid w:val="00504F69"/>
    <w:rsid w:val="00507A4F"/>
    <w:rsid w:val="00507B47"/>
    <w:rsid w:val="00507BEF"/>
    <w:rsid w:val="00507CC9"/>
    <w:rsid w:val="0051198E"/>
    <w:rsid w:val="005119A5"/>
    <w:rsid w:val="00517A75"/>
    <w:rsid w:val="00521643"/>
    <w:rsid w:val="0052452E"/>
    <w:rsid w:val="005278B7"/>
    <w:rsid w:val="00532016"/>
    <w:rsid w:val="005346C8"/>
    <w:rsid w:val="00543E7D"/>
    <w:rsid w:val="00544D65"/>
    <w:rsid w:val="00547141"/>
    <w:rsid w:val="00547A68"/>
    <w:rsid w:val="005531C9"/>
    <w:rsid w:val="00562C28"/>
    <w:rsid w:val="00566C44"/>
    <w:rsid w:val="00570C43"/>
    <w:rsid w:val="00571F75"/>
    <w:rsid w:val="00587697"/>
    <w:rsid w:val="005B2110"/>
    <w:rsid w:val="005B61E6"/>
    <w:rsid w:val="005C3720"/>
    <w:rsid w:val="005C77E1"/>
    <w:rsid w:val="005D668A"/>
    <w:rsid w:val="005D6A2F"/>
    <w:rsid w:val="005E1A82"/>
    <w:rsid w:val="005E794C"/>
    <w:rsid w:val="005F0A28"/>
    <w:rsid w:val="005F0E5E"/>
    <w:rsid w:val="00600535"/>
    <w:rsid w:val="00603ADA"/>
    <w:rsid w:val="00607C17"/>
    <w:rsid w:val="00610CD6"/>
    <w:rsid w:val="00620DEE"/>
    <w:rsid w:val="00621F92"/>
    <w:rsid w:val="0062280A"/>
    <w:rsid w:val="006253D4"/>
    <w:rsid w:val="00625639"/>
    <w:rsid w:val="006275B1"/>
    <w:rsid w:val="00631B33"/>
    <w:rsid w:val="0063257A"/>
    <w:rsid w:val="00640C11"/>
    <w:rsid w:val="0064184D"/>
    <w:rsid w:val="006422CC"/>
    <w:rsid w:val="00650EFE"/>
    <w:rsid w:val="00656414"/>
    <w:rsid w:val="00660E3E"/>
    <w:rsid w:val="00662E74"/>
    <w:rsid w:val="00662EB6"/>
    <w:rsid w:val="0067390F"/>
    <w:rsid w:val="0067710D"/>
    <w:rsid w:val="00680C23"/>
    <w:rsid w:val="00690FE3"/>
    <w:rsid w:val="00693766"/>
    <w:rsid w:val="0069562B"/>
    <w:rsid w:val="006A15BA"/>
    <w:rsid w:val="006A3281"/>
    <w:rsid w:val="006B4888"/>
    <w:rsid w:val="006B4EA3"/>
    <w:rsid w:val="006B749A"/>
    <w:rsid w:val="006C2E45"/>
    <w:rsid w:val="006C359C"/>
    <w:rsid w:val="006C5579"/>
    <w:rsid w:val="006D6E8B"/>
    <w:rsid w:val="006E737D"/>
    <w:rsid w:val="006F2D5D"/>
    <w:rsid w:val="006F453E"/>
    <w:rsid w:val="007048EB"/>
    <w:rsid w:val="0071075E"/>
    <w:rsid w:val="00713973"/>
    <w:rsid w:val="007174EC"/>
    <w:rsid w:val="00720A24"/>
    <w:rsid w:val="00722A8F"/>
    <w:rsid w:val="00723BE5"/>
    <w:rsid w:val="00732386"/>
    <w:rsid w:val="0073514D"/>
    <w:rsid w:val="007407F6"/>
    <w:rsid w:val="007447F3"/>
    <w:rsid w:val="0075499F"/>
    <w:rsid w:val="0075553E"/>
    <w:rsid w:val="007661C8"/>
    <w:rsid w:val="0077098D"/>
    <w:rsid w:val="00775FCC"/>
    <w:rsid w:val="007872DC"/>
    <w:rsid w:val="00792525"/>
    <w:rsid w:val="007931FA"/>
    <w:rsid w:val="007A4861"/>
    <w:rsid w:val="007A4952"/>
    <w:rsid w:val="007A7BBA"/>
    <w:rsid w:val="007B0C50"/>
    <w:rsid w:val="007B48F9"/>
    <w:rsid w:val="007B573F"/>
    <w:rsid w:val="007C1A43"/>
    <w:rsid w:val="007D1EA1"/>
    <w:rsid w:val="0080013E"/>
    <w:rsid w:val="00802ED8"/>
    <w:rsid w:val="00806930"/>
    <w:rsid w:val="008072B1"/>
    <w:rsid w:val="00807C84"/>
    <w:rsid w:val="00813288"/>
    <w:rsid w:val="008168FC"/>
    <w:rsid w:val="0082534E"/>
    <w:rsid w:val="00830996"/>
    <w:rsid w:val="008345F1"/>
    <w:rsid w:val="0085204F"/>
    <w:rsid w:val="008650F1"/>
    <w:rsid w:val="00865B07"/>
    <w:rsid w:val="008667EA"/>
    <w:rsid w:val="00867C64"/>
    <w:rsid w:val="0087129E"/>
    <w:rsid w:val="00872DD2"/>
    <w:rsid w:val="0087637F"/>
    <w:rsid w:val="008768CD"/>
    <w:rsid w:val="00880073"/>
    <w:rsid w:val="00892AD5"/>
    <w:rsid w:val="008A1512"/>
    <w:rsid w:val="008A55CA"/>
    <w:rsid w:val="008C7439"/>
    <w:rsid w:val="008D05C6"/>
    <w:rsid w:val="008D1243"/>
    <w:rsid w:val="008D12C9"/>
    <w:rsid w:val="008D1BB5"/>
    <w:rsid w:val="008D32B9"/>
    <w:rsid w:val="008D433B"/>
    <w:rsid w:val="008E566E"/>
    <w:rsid w:val="008F5F07"/>
    <w:rsid w:val="00900B87"/>
    <w:rsid w:val="0090161A"/>
    <w:rsid w:val="00901EB6"/>
    <w:rsid w:val="00904C62"/>
    <w:rsid w:val="00905768"/>
    <w:rsid w:val="00922BA8"/>
    <w:rsid w:val="00924DAC"/>
    <w:rsid w:val="009259FE"/>
    <w:rsid w:val="00926D7F"/>
    <w:rsid w:val="00927058"/>
    <w:rsid w:val="00942750"/>
    <w:rsid w:val="009450CE"/>
    <w:rsid w:val="00947179"/>
    <w:rsid w:val="0095164B"/>
    <w:rsid w:val="00954090"/>
    <w:rsid w:val="009573E7"/>
    <w:rsid w:val="00963E05"/>
    <w:rsid w:val="00966D0C"/>
    <w:rsid w:val="00967843"/>
    <w:rsid w:val="00967D54"/>
    <w:rsid w:val="00971028"/>
    <w:rsid w:val="009772C8"/>
    <w:rsid w:val="00993B84"/>
    <w:rsid w:val="00996483"/>
    <w:rsid w:val="00996F5A"/>
    <w:rsid w:val="009A750F"/>
    <w:rsid w:val="009B041A"/>
    <w:rsid w:val="009C030D"/>
    <w:rsid w:val="009C11F2"/>
    <w:rsid w:val="009C37C3"/>
    <w:rsid w:val="009C6EE6"/>
    <w:rsid w:val="009C7C86"/>
    <w:rsid w:val="009D2FF7"/>
    <w:rsid w:val="009D7D17"/>
    <w:rsid w:val="009E4341"/>
    <w:rsid w:val="009E7884"/>
    <w:rsid w:val="009E788A"/>
    <w:rsid w:val="009F030E"/>
    <w:rsid w:val="009F0E08"/>
    <w:rsid w:val="009F7626"/>
    <w:rsid w:val="00A1763D"/>
    <w:rsid w:val="00A17CEC"/>
    <w:rsid w:val="00A27EF0"/>
    <w:rsid w:val="00A37551"/>
    <w:rsid w:val="00A42361"/>
    <w:rsid w:val="00A47A80"/>
    <w:rsid w:val="00A50B20"/>
    <w:rsid w:val="00A51390"/>
    <w:rsid w:val="00A56C01"/>
    <w:rsid w:val="00A600E8"/>
    <w:rsid w:val="00A60D13"/>
    <w:rsid w:val="00A72745"/>
    <w:rsid w:val="00A74199"/>
    <w:rsid w:val="00A76EFC"/>
    <w:rsid w:val="00A809BF"/>
    <w:rsid w:val="00A872C2"/>
    <w:rsid w:val="00A91010"/>
    <w:rsid w:val="00A97F29"/>
    <w:rsid w:val="00AA584A"/>
    <w:rsid w:val="00AA702E"/>
    <w:rsid w:val="00AA7446"/>
    <w:rsid w:val="00AB0964"/>
    <w:rsid w:val="00AB5011"/>
    <w:rsid w:val="00AB7304"/>
    <w:rsid w:val="00AC3C85"/>
    <w:rsid w:val="00AC7368"/>
    <w:rsid w:val="00AC7B7F"/>
    <w:rsid w:val="00AD16B9"/>
    <w:rsid w:val="00AE377D"/>
    <w:rsid w:val="00AE7F2F"/>
    <w:rsid w:val="00AF0EBA"/>
    <w:rsid w:val="00AF3DF3"/>
    <w:rsid w:val="00B02C8A"/>
    <w:rsid w:val="00B16D3A"/>
    <w:rsid w:val="00B17FBD"/>
    <w:rsid w:val="00B21FFA"/>
    <w:rsid w:val="00B257A3"/>
    <w:rsid w:val="00B315A6"/>
    <w:rsid w:val="00B31813"/>
    <w:rsid w:val="00B33365"/>
    <w:rsid w:val="00B433FF"/>
    <w:rsid w:val="00B44028"/>
    <w:rsid w:val="00B4797B"/>
    <w:rsid w:val="00B57B36"/>
    <w:rsid w:val="00B57E6F"/>
    <w:rsid w:val="00B8686D"/>
    <w:rsid w:val="00B90052"/>
    <w:rsid w:val="00B93A4F"/>
    <w:rsid w:val="00B93F69"/>
    <w:rsid w:val="00BB1B78"/>
    <w:rsid w:val="00BB1DDC"/>
    <w:rsid w:val="00BB4E85"/>
    <w:rsid w:val="00BC0DBF"/>
    <w:rsid w:val="00BC30C9"/>
    <w:rsid w:val="00BD077D"/>
    <w:rsid w:val="00BD2999"/>
    <w:rsid w:val="00BD61CF"/>
    <w:rsid w:val="00BD7DD4"/>
    <w:rsid w:val="00BE3E58"/>
    <w:rsid w:val="00BE6288"/>
    <w:rsid w:val="00C01616"/>
    <w:rsid w:val="00C0162B"/>
    <w:rsid w:val="00C031D4"/>
    <w:rsid w:val="00C068ED"/>
    <w:rsid w:val="00C22E0C"/>
    <w:rsid w:val="00C345B1"/>
    <w:rsid w:val="00C37EC9"/>
    <w:rsid w:val="00C40142"/>
    <w:rsid w:val="00C40622"/>
    <w:rsid w:val="00C40B26"/>
    <w:rsid w:val="00C51CBE"/>
    <w:rsid w:val="00C52C3C"/>
    <w:rsid w:val="00C57182"/>
    <w:rsid w:val="00C57863"/>
    <w:rsid w:val="00C651ED"/>
    <w:rsid w:val="00C655FD"/>
    <w:rsid w:val="00C65EC3"/>
    <w:rsid w:val="00C6718E"/>
    <w:rsid w:val="00C67C3E"/>
    <w:rsid w:val="00C75407"/>
    <w:rsid w:val="00C81E30"/>
    <w:rsid w:val="00C8204A"/>
    <w:rsid w:val="00C870A8"/>
    <w:rsid w:val="00C94434"/>
    <w:rsid w:val="00C94FDD"/>
    <w:rsid w:val="00C957C8"/>
    <w:rsid w:val="00CA0D75"/>
    <w:rsid w:val="00CA1C95"/>
    <w:rsid w:val="00CA5A9C"/>
    <w:rsid w:val="00CA5C4C"/>
    <w:rsid w:val="00CA5D36"/>
    <w:rsid w:val="00CA76F5"/>
    <w:rsid w:val="00CB51C9"/>
    <w:rsid w:val="00CC4C20"/>
    <w:rsid w:val="00CD3517"/>
    <w:rsid w:val="00CD5FE2"/>
    <w:rsid w:val="00CE096A"/>
    <w:rsid w:val="00CE7C68"/>
    <w:rsid w:val="00CF523C"/>
    <w:rsid w:val="00D02B4C"/>
    <w:rsid w:val="00D040C4"/>
    <w:rsid w:val="00D11075"/>
    <w:rsid w:val="00D1753E"/>
    <w:rsid w:val="00D21186"/>
    <w:rsid w:val="00D46B7E"/>
    <w:rsid w:val="00D57C84"/>
    <w:rsid w:val="00D6057D"/>
    <w:rsid w:val="00D60736"/>
    <w:rsid w:val="00D66A14"/>
    <w:rsid w:val="00D7354B"/>
    <w:rsid w:val="00D836C5"/>
    <w:rsid w:val="00D84576"/>
    <w:rsid w:val="00D86315"/>
    <w:rsid w:val="00D871D0"/>
    <w:rsid w:val="00D90A97"/>
    <w:rsid w:val="00DA1399"/>
    <w:rsid w:val="00DA24C6"/>
    <w:rsid w:val="00DA4748"/>
    <w:rsid w:val="00DA4D7B"/>
    <w:rsid w:val="00DC10BB"/>
    <w:rsid w:val="00DC44B5"/>
    <w:rsid w:val="00DC6067"/>
    <w:rsid w:val="00DD167D"/>
    <w:rsid w:val="00DD4A41"/>
    <w:rsid w:val="00DD6BB8"/>
    <w:rsid w:val="00DE264A"/>
    <w:rsid w:val="00DE50D1"/>
    <w:rsid w:val="00DF2474"/>
    <w:rsid w:val="00DF5072"/>
    <w:rsid w:val="00E014B6"/>
    <w:rsid w:val="00E02D18"/>
    <w:rsid w:val="00E041E7"/>
    <w:rsid w:val="00E07557"/>
    <w:rsid w:val="00E108CC"/>
    <w:rsid w:val="00E23CA1"/>
    <w:rsid w:val="00E25F7B"/>
    <w:rsid w:val="00E26C6F"/>
    <w:rsid w:val="00E3164A"/>
    <w:rsid w:val="00E409A8"/>
    <w:rsid w:val="00E50C12"/>
    <w:rsid w:val="00E55B9E"/>
    <w:rsid w:val="00E6439E"/>
    <w:rsid w:val="00E65B91"/>
    <w:rsid w:val="00E7209D"/>
    <w:rsid w:val="00E72EAD"/>
    <w:rsid w:val="00E742C6"/>
    <w:rsid w:val="00E77223"/>
    <w:rsid w:val="00E81DEE"/>
    <w:rsid w:val="00E81F18"/>
    <w:rsid w:val="00E8528B"/>
    <w:rsid w:val="00E85B94"/>
    <w:rsid w:val="00E94BF0"/>
    <w:rsid w:val="00E978D0"/>
    <w:rsid w:val="00EA1E4F"/>
    <w:rsid w:val="00EA4613"/>
    <w:rsid w:val="00EA7F91"/>
    <w:rsid w:val="00EB1523"/>
    <w:rsid w:val="00EC0E49"/>
    <w:rsid w:val="00EC101F"/>
    <w:rsid w:val="00EC1D9F"/>
    <w:rsid w:val="00EC2CC9"/>
    <w:rsid w:val="00EC36FE"/>
    <w:rsid w:val="00EE0131"/>
    <w:rsid w:val="00EE17B0"/>
    <w:rsid w:val="00EE46BA"/>
    <w:rsid w:val="00EF0561"/>
    <w:rsid w:val="00EF06D9"/>
    <w:rsid w:val="00F20087"/>
    <w:rsid w:val="00F302C3"/>
    <w:rsid w:val="00F30A55"/>
    <w:rsid w:val="00F30C64"/>
    <w:rsid w:val="00F32BA2"/>
    <w:rsid w:val="00F32CDB"/>
    <w:rsid w:val="00F44107"/>
    <w:rsid w:val="00F46E96"/>
    <w:rsid w:val="00F53861"/>
    <w:rsid w:val="00F565FE"/>
    <w:rsid w:val="00F63A70"/>
    <w:rsid w:val="00F7234E"/>
    <w:rsid w:val="00F7534E"/>
    <w:rsid w:val="00F80813"/>
    <w:rsid w:val="00F8493A"/>
    <w:rsid w:val="00F934E5"/>
    <w:rsid w:val="00FA1DB0"/>
    <w:rsid w:val="00FA21D0"/>
    <w:rsid w:val="00FA5F5F"/>
    <w:rsid w:val="00FB10F0"/>
    <w:rsid w:val="00FB19E3"/>
    <w:rsid w:val="00FB2C1D"/>
    <w:rsid w:val="00FB3AE6"/>
    <w:rsid w:val="00FB525C"/>
    <w:rsid w:val="00FB6F05"/>
    <w:rsid w:val="00FB730C"/>
    <w:rsid w:val="00FC2695"/>
    <w:rsid w:val="00FC3E03"/>
    <w:rsid w:val="00FC3FC1"/>
    <w:rsid w:val="00FC796A"/>
    <w:rsid w:val="00FD07CC"/>
    <w:rsid w:val="00FD10E9"/>
    <w:rsid w:val="00FD39A5"/>
    <w:rsid w:val="00FD59FD"/>
    <w:rsid w:val="00FD6A01"/>
    <w:rsid w:val="00FF15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2C746A"/>
  <w14:defaultImageDpi w14:val="330"/>
  <w15:docId w15:val="{45F8D3C5-C8B0-4F47-9EEA-254982E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736A1"/>
    <w:pPr>
      <w:keepNext/>
      <w:suppressAutoHyphens/>
      <w:spacing w:before="120" w:after="120" w:line="240" w:lineRule="auto"/>
    </w:pPr>
    <w:rPr>
      <w:rFonts w:ascii="Arial" w:eastAsia="Times New Roman" w:hAnsi="Arial" w:cs="Times New Roman"/>
      <w:b/>
      <w:sz w:val="20"/>
      <w:szCs w:val="20"/>
      <w:lang w:val="es-CO"/>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736A1"/>
    <w:rPr>
      <w:rFonts w:ascii="Arial" w:eastAsia="Times New Roman" w:hAnsi="Arial" w:cs="Times New Roman"/>
      <w:b/>
      <w:sz w:val="20"/>
      <w:szCs w:val="20"/>
      <w:lang w:val="es-CO"/>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9C030D"/>
    <w:rPr>
      <w:color w:val="605E5C"/>
      <w:shd w:val="clear" w:color="auto" w:fill="E1DFDD"/>
    </w:rPr>
  </w:style>
  <w:style w:type="paragraph" w:customStyle="1" w:styleId="PrrafoURSI">
    <w:name w:val="PárrafoURSI"/>
    <w:basedOn w:val="Normal"/>
    <w:rsid w:val="00521643"/>
    <w:pPr>
      <w:tabs>
        <w:tab w:val="clear" w:pos="7100"/>
      </w:tabs>
      <w:spacing w:line="240" w:lineRule="auto"/>
      <w:ind w:right="45" w:firstLine="284"/>
    </w:pPr>
    <w:rPr>
      <w:rFonts w:ascii="Times New Roman" w:hAnsi="Times New Roman"/>
      <w:sz w:val="20"/>
      <w:lang w:val="es-ES"/>
    </w:rPr>
  </w:style>
  <w:style w:type="character" w:customStyle="1" w:styleId="title-text">
    <w:name w:val="title-text"/>
    <w:basedOn w:val="Fuentedeprrafopredeter"/>
    <w:rsid w:val="0011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967">
      <w:bodyDiv w:val="1"/>
      <w:marLeft w:val="0"/>
      <w:marRight w:val="0"/>
      <w:marTop w:val="0"/>
      <w:marBottom w:val="0"/>
      <w:divBdr>
        <w:top w:val="none" w:sz="0" w:space="0" w:color="auto"/>
        <w:left w:val="none" w:sz="0" w:space="0" w:color="auto"/>
        <w:bottom w:val="none" w:sz="0" w:space="0" w:color="auto"/>
        <w:right w:val="none" w:sz="0" w:space="0" w:color="auto"/>
      </w:divBdr>
    </w:div>
    <w:div w:id="110706036">
      <w:bodyDiv w:val="1"/>
      <w:marLeft w:val="0"/>
      <w:marRight w:val="0"/>
      <w:marTop w:val="0"/>
      <w:marBottom w:val="0"/>
      <w:divBdr>
        <w:top w:val="none" w:sz="0" w:space="0" w:color="auto"/>
        <w:left w:val="none" w:sz="0" w:space="0" w:color="auto"/>
        <w:bottom w:val="none" w:sz="0" w:space="0" w:color="auto"/>
        <w:right w:val="none" w:sz="0" w:space="0" w:color="auto"/>
      </w:divBdr>
    </w:div>
    <w:div w:id="125777673">
      <w:bodyDiv w:val="1"/>
      <w:marLeft w:val="0"/>
      <w:marRight w:val="0"/>
      <w:marTop w:val="0"/>
      <w:marBottom w:val="0"/>
      <w:divBdr>
        <w:top w:val="none" w:sz="0" w:space="0" w:color="auto"/>
        <w:left w:val="none" w:sz="0" w:space="0" w:color="auto"/>
        <w:bottom w:val="none" w:sz="0" w:space="0" w:color="auto"/>
        <w:right w:val="none" w:sz="0" w:space="0" w:color="auto"/>
      </w:divBdr>
    </w:div>
    <w:div w:id="128281290">
      <w:bodyDiv w:val="1"/>
      <w:marLeft w:val="0"/>
      <w:marRight w:val="0"/>
      <w:marTop w:val="0"/>
      <w:marBottom w:val="0"/>
      <w:divBdr>
        <w:top w:val="none" w:sz="0" w:space="0" w:color="auto"/>
        <w:left w:val="none" w:sz="0" w:space="0" w:color="auto"/>
        <w:bottom w:val="none" w:sz="0" w:space="0" w:color="auto"/>
        <w:right w:val="none" w:sz="0" w:space="0" w:color="auto"/>
      </w:divBdr>
    </w:div>
    <w:div w:id="134222897">
      <w:bodyDiv w:val="1"/>
      <w:marLeft w:val="0"/>
      <w:marRight w:val="0"/>
      <w:marTop w:val="0"/>
      <w:marBottom w:val="0"/>
      <w:divBdr>
        <w:top w:val="none" w:sz="0" w:space="0" w:color="auto"/>
        <w:left w:val="none" w:sz="0" w:space="0" w:color="auto"/>
        <w:bottom w:val="none" w:sz="0" w:space="0" w:color="auto"/>
        <w:right w:val="none" w:sz="0" w:space="0" w:color="auto"/>
      </w:divBdr>
    </w:div>
    <w:div w:id="193690523">
      <w:bodyDiv w:val="1"/>
      <w:marLeft w:val="0"/>
      <w:marRight w:val="0"/>
      <w:marTop w:val="0"/>
      <w:marBottom w:val="0"/>
      <w:divBdr>
        <w:top w:val="none" w:sz="0" w:space="0" w:color="auto"/>
        <w:left w:val="none" w:sz="0" w:space="0" w:color="auto"/>
        <w:bottom w:val="none" w:sz="0" w:space="0" w:color="auto"/>
        <w:right w:val="none" w:sz="0" w:space="0" w:color="auto"/>
      </w:divBdr>
    </w:div>
    <w:div w:id="206456126">
      <w:bodyDiv w:val="1"/>
      <w:marLeft w:val="0"/>
      <w:marRight w:val="0"/>
      <w:marTop w:val="0"/>
      <w:marBottom w:val="0"/>
      <w:divBdr>
        <w:top w:val="none" w:sz="0" w:space="0" w:color="auto"/>
        <w:left w:val="none" w:sz="0" w:space="0" w:color="auto"/>
        <w:bottom w:val="none" w:sz="0" w:space="0" w:color="auto"/>
        <w:right w:val="none" w:sz="0" w:space="0" w:color="auto"/>
      </w:divBdr>
    </w:div>
    <w:div w:id="281889521">
      <w:bodyDiv w:val="1"/>
      <w:marLeft w:val="0"/>
      <w:marRight w:val="0"/>
      <w:marTop w:val="0"/>
      <w:marBottom w:val="0"/>
      <w:divBdr>
        <w:top w:val="none" w:sz="0" w:space="0" w:color="auto"/>
        <w:left w:val="none" w:sz="0" w:space="0" w:color="auto"/>
        <w:bottom w:val="none" w:sz="0" w:space="0" w:color="auto"/>
        <w:right w:val="none" w:sz="0" w:space="0" w:color="auto"/>
      </w:divBdr>
    </w:div>
    <w:div w:id="313485972">
      <w:bodyDiv w:val="1"/>
      <w:marLeft w:val="0"/>
      <w:marRight w:val="0"/>
      <w:marTop w:val="0"/>
      <w:marBottom w:val="0"/>
      <w:divBdr>
        <w:top w:val="none" w:sz="0" w:space="0" w:color="auto"/>
        <w:left w:val="none" w:sz="0" w:space="0" w:color="auto"/>
        <w:bottom w:val="none" w:sz="0" w:space="0" w:color="auto"/>
        <w:right w:val="none" w:sz="0" w:space="0" w:color="auto"/>
      </w:divBdr>
    </w:div>
    <w:div w:id="594825195">
      <w:bodyDiv w:val="1"/>
      <w:marLeft w:val="0"/>
      <w:marRight w:val="0"/>
      <w:marTop w:val="0"/>
      <w:marBottom w:val="0"/>
      <w:divBdr>
        <w:top w:val="none" w:sz="0" w:space="0" w:color="auto"/>
        <w:left w:val="none" w:sz="0" w:space="0" w:color="auto"/>
        <w:bottom w:val="none" w:sz="0" w:space="0" w:color="auto"/>
        <w:right w:val="none" w:sz="0" w:space="0" w:color="auto"/>
      </w:divBdr>
    </w:div>
    <w:div w:id="596526052">
      <w:bodyDiv w:val="1"/>
      <w:marLeft w:val="0"/>
      <w:marRight w:val="0"/>
      <w:marTop w:val="0"/>
      <w:marBottom w:val="0"/>
      <w:divBdr>
        <w:top w:val="none" w:sz="0" w:space="0" w:color="auto"/>
        <w:left w:val="none" w:sz="0" w:space="0" w:color="auto"/>
        <w:bottom w:val="none" w:sz="0" w:space="0" w:color="auto"/>
        <w:right w:val="none" w:sz="0" w:space="0" w:color="auto"/>
      </w:divBdr>
    </w:div>
    <w:div w:id="652411928">
      <w:bodyDiv w:val="1"/>
      <w:marLeft w:val="0"/>
      <w:marRight w:val="0"/>
      <w:marTop w:val="0"/>
      <w:marBottom w:val="0"/>
      <w:divBdr>
        <w:top w:val="none" w:sz="0" w:space="0" w:color="auto"/>
        <w:left w:val="none" w:sz="0" w:space="0" w:color="auto"/>
        <w:bottom w:val="none" w:sz="0" w:space="0" w:color="auto"/>
        <w:right w:val="none" w:sz="0" w:space="0" w:color="auto"/>
      </w:divBdr>
    </w:div>
    <w:div w:id="663431892">
      <w:bodyDiv w:val="1"/>
      <w:marLeft w:val="0"/>
      <w:marRight w:val="0"/>
      <w:marTop w:val="0"/>
      <w:marBottom w:val="0"/>
      <w:divBdr>
        <w:top w:val="none" w:sz="0" w:space="0" w:color="auto"/>
        <w:left w:val="none" w:sz="0" w:space="0" w:color="auto"/>
        <w:bottom w:val="none" w:sz="0" w:space="0" w:color="auto"/>
        <w:right w:val="none" w:sz="0" w:space="0" w:color="auto"/>
      </w:divBdr>
    </w:div>
    <w:div w:id="738787356">
      <w:bodyDiv w:val="1"/>
      <w:marLeft w:val="0"/>
      <w:marRight w:val="0"/>
      <w:marTop w:val="0"/>
      <w:marBottom w:val="0"/>
      <w:divBdr>
        <w:top w:val="none" w:sz="0" w:space="0" w:color="auto"/>
        <w:left w:val="none" w:sz="0" w:space="0" w:color="auto"/>
        <w:bottom w:val="none" w:sz="0" w:space="0" w:color="auto"/>
        <w:right w:val="none" w:sz="0" w:space="0" w:color="auto"/>
      </w:divBdr>
    </w:div>
    <w:div w:id="76260509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847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19956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2215">
      <w:bodyDiv w:val="1"/>
      <w:marLeft w:val="0"/>
      <w:marRight w:val="0"/>
      <w:marTop w:val="0"/>
      <w:marBottom w:val="0"/>
      <w:divBdr>
        <w:top w:val="none" w:sz="0" w:space="0" w:color="auto"/>
        <w:left w:val="none" w:sz="0" w:space="0" w:color="auto"/>
        <w:bottom w:val="none" w:sz="0" w:space="0" w:color="auto"/>
        <w:right w:val="none" w:sz="0" w:space="0" w:color="auto"/>
      </w:divBdr>
    </w:div>
    <w:div w:id="1073046915">
      <w:bodyDiv w:val="1"/>
      <w:marLeft w:val="0"/>
      <w:marRight w:val="0"/>
      <w:marTop w:val="0"/>
      <w:marBottom w:val="0"/>
      <w:divBdr>
        <w:top w:val="none" w:sz="0" w:space="0" w:color="auto"/>
        <w:left w:val="none" w:sz="0" w:space="0" w:color="auto"/>
        <w:bottom w:val="none" w:sz="0" w:space="0" w:color="auto"/>
        <w:right w:val="none" w:sz="0" w:space="0" w:color="auto"/>
      </w:divBdr>
    </w:div>
    <w:div w:id="1080564712">
      <w:bodyDiv w:val="1"/>
      <w:marLeft w:val="0"/>
      <w:marRight w:val="0"/>
      <w:marTop w:val="0"/>
      <w:marBottom w:val="0"/>
      <w:divBdr>
        <w:top w:val="none" w:sz="0" w:space="0" w:color="auto"/>
        <w:left w:val="none" w:sz="0" w:space="0" w:color="auto"/>
        <w:bottom w:val="none" w:sz="0" w:space="0" w:color="auto"/>
        <w:right w:val="none" w:sz="0" w:space="0" w:color="auto"/>
      </w:divBdr>
    </w:div>
    <w:div w:id="1136990335">
      <w:bodyDiv w:val="1"/>
      <w:marLeft w:val="0"/>
      <w:marRight w:val="0"/>
      <w:marTop w:val="0"/>
      <w:marBottom w:val="0"/>
      <w:divBdr>
        <w:top w:val="none" w:sz="0" w:space="0" w:color="auto"/>
        <w:left w:val="none" w:sz="0" w:space="0" w:color="auto"/>
        <w:bottom w:val="none" w:sz="0" w:space="0" w:color="auto"/>
        <w:right w:val="none" w:sz="0" w:space="0" w:color="auto"/>
      </w:divBdr>
    </w:div>
    <w:div w:id="1194154997">
      <w:bodyDiv w:val="1"/>
      <w:marLeft w:val="0"/>
      <w:marRight w:val="0"/>
      <w:marTop w:val="0"/>
      <w:marBottom w:val="0"/>
      <w:divBdr>
        <w:top w:val="none" w:sz="0" w:space="0" w:color="auto"/>
        <w:left w:val="none" w:sz="0" w:space="0" w:color="auto"/>
        <w:bottom w:val="none" w:sz="0" w:space="0" w:color="auto"/>
        <w:right w:val="none" w:sz="0" w:space="0" w:color="auto"/>
      </w:divBdr>
      <w:divsChild>
        <w:div w:id="1459058792">
          <w:marLeft w:val="0"/>
          <w:marRight w:val="0"/>
          <w:marTop w:val="225"/>
          <w:marBottom w:val="225"/>
          <w:divBdr>
            <w:top w:val="none" w:sz="0" w:space="0" w:color="auto"/>
            <w:left w:val="none" w:sz="0" w:space="0" w:color="auto"/>
            <w:bottom w:val="none" w:sz="0" w:space="0" w:color="auto"/>
            <w:right w:val="none" w:sz="0" w:space="0" w:color="auto"/>
          </w:divBdr>
          <w:divsChild>
            <w:div w:id="1895660511">
              <w:marLeft w:val="0"/>
              <w:marRight w:val="0"/>
              <w:marTop w:val="0"/>
              <w:marBottom w:val="0"/>
              <w:divBdr>
                <w:top w:val="none" w:sz="0" w:space="0" w:color="auto"/>
                <w:left w:val="none" w:sz="0" w:space="0" w:color="auto"/>
                <w:bottom w:val="none" w:sz="0" w:space="0" w:color="auto"/>
                <w:right w:val="none" w:sz="0" w:space="0" w:color="auto"/>
              </w:divBdr>
              <w:divsChild>
                <w:div w:id="2121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8065725">
      <w:bodyDiv w:val="1"/>
      <w:marLeft w:val="0"/>
      <w:marRight w:val="0"/>
      <w:marTop w:val="0"/>
      <w:marBottom w:val="0"/>
      <w:divBdr>
        <w:top w:val="none" w:sz="0" w:space="0" w:color="auto"/>
        <w:left w:val="none" w:sz="0" w:space="0" w:color="auto"/>
        <w:bottom w:val="none" w:sz="0" w:space="0" w:color="auto"/>
        <w:right w:val="none" w:sz="0" w:space="0" w:color="auto"/>
      </w:divBdr>
    </w:div>
    <w:div w:id="14888604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93657900">
      <w:bodyDiv w:val="1"/>
      <w:marLeft w:val="0"/>
      <w:marRight w:val="0"/>
      <w:marTop w:val="0"/>
      <w:marBottom w:val="0"/>
      <w:divBdr>
        <w:top w:val="none" w:sz="0" w:space="0" w:color="auto"/>
        <w:left w:val="none" w:sz="0" w:space="0" w:color="auto"/>
        <w:bottom w:val="none" w:sz="0" w:space="0" w:color="auto"/>
        <w:right w:val="none" w:sz="0" w:space="0" w:color="auto"/>
      </w:divBdr>
    </w:div>
    <w:div w:id="1671249424">
      <w:bodyDiv w:val="1"/>
      <w:marLeft w:val="0"/>
      <w:marRight w:val="0"/>
      <w:marTop w:val="0"/>
      <w:marBottom w:val="0"/>
      <w:divBdr>
        <w:top w:val="none" w:sz="0" w:space="0" w:color="auto"/>
        <w:left w:val="none" w:sz="0" w:space="0" w:color="auto"/>
        <w:bottom w:val="none" w:sz="0" w:space="0" w:color="auto"/>
        <w:right w:val="none" w:sz="0" w:space="0" w:color="auto"/>
      </w:divBdr>
    </w:div>
    <w:div w:id="167683671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438">
      <w:bodyDiv w:val="1"/>
      <w:marLeft w:val="0"/>
      <w:marRight w:val="0"/>
      <w:marTop w:val="0"/>
      <w:marBottom w:val="0"/>
      <w:divBdr>
        <w:top w:val="none" w:sz="0" w:space="0" w:color="auto"/>
        <w:left w:val="none" w:sz="0" w:space="0" w:color="auto"/>
        <w:bottom w:val="none" w:sz="0" w:space="0" w:color="auto"/>
        <w:right w:val="none" w:sz="0" w:space="0" w:color="auto"/>
      </w:divBdr>
      <w:divsChild>
        <w:div w:id="2096047356">
          <w:marLeft w:val="0"/>
          <w:marRight w:val="0"/>
          <w:marTop w:val="225"/>
          <w:marBottom w:val="225"/>
          <w:divBdr>
            <w:top w:val="none" w:sz="0" w:space="0" w:color="auto"/>
            <w:left w:val="none" w:sz="0" w:space="0" w:color="auto"/>
            <w:bottom w:val="none" w:sz="0" w:space="0" w:color="auto"/>
            <w:right w:val="none" w:sz="0" w:space="0" w:color="auto"/>
          </w:divBdr>
          <w:divsChild>
            <w:div w:id="968516208">
              <w:marLeft w:val="0"/>
              <w:marRight w:val="0"/>
              <w:marTop w:val="0"/>
              <w:marBottom w:val="0"/>
              <w:divBdr>
                <w:top w:val="none" w:sz="0" w:space="0" w:color="auto"/>
                <w:left w:val="none" w:sz="0" w:space="0" w:color="auto"/>
                <w:bottom w:val="none" w:sz="0" w:space="0" w:color="auto"/>
                <w:right w:val="none" w:sz="0" w:space="0" w:color="auto"/>
              </w:divBdr>
              <w:divsChild>
                <w:div w:id="21145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5484">
      <w:bodyDiv w:val="1"/>
      <w:marLeft w:val="0"/>
      <w:marRight w:val="0"/>
      <w:marTop w:val="0"/>
      <w:marBottom w:val="0"/>
      <w:divBdr>
        <w:top w:val="none" w:sz="0" w:space="0" w:color="auto"/>
        <w:left w:val="none" w:sz="0" w:space="0" w:color="auto"/>
        <w:bottom w:val="none" w:sz="0" w:space="0" w:color="auto"/>
        <w:right w:val="none" w:sz="0" w:space="0" w:color="auto"/>
      </w:divBdr>
    </w:div>
    <w:div w:id="2117287307">
      <w:bodyDiv w:val="1"/>
      <w:marLeft w:val="0"/>
      <w:marRight w:val="0"/>
      <w:marTop w:val="0"/>
      <w:marBottom w:val="0"/>
      <w:divBdr>
        <w:top w:val="none" w:sz="0" w:space="0" w:color="auto"/>
        <w:left w:val="none" w:sz="0" w:space="0" w:color="auto"/>
        <w:bottom w:val="none" w:sz="0" w:space="0" w:color="auto"/>
        <w:right w:val="none" w:sz="0" w:space="0" w:color="auto"/>
      </w:divBdr>
    </w:div>
    <w:div w:id="21220643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s://ascelibrary.org/author/Golabchi%2C+Mahmood" TargetMode="External"/><Relationship Id="rId3" Type="http://schemas.openxmlformats.org/officeDocument/2006/relationships/styles" Target="styles.xml"/><Relationship Id="rId21" Type="http://schemas.openxmlformats.org/officeDocument/2006/relationships/hyperlink" Target="http://xlibros.com/wpcontent/uploads/2014/04/Calidad-total-y-productividad-3edi-Gutierrez_redacted.pdf"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ascelibrary.org/author/Gharouni+Jafari%2C+Kobr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celibrary.org/author/Noorzai%2C+Esmatullah" TargetMode="External"/><Relationship Id="rId20" Type="http://schemas.openxmlformats.org/officeDocument/2006/relationships/hyperlink" Target="https://ascelibrary.org/toc/jaeied/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sciencedirect.com/science/journal/09596526" TargetMode="External"/><Relationship Id="rId10" Type="http://schemas.openxmlformats.org/officeDocument/2006/relationships/hyperlink" Target="mailto:jpgraciar@udistrital.edu.co" TargetMode="External"/><Relationship Id="rId19" Type="http://schemas.openxmlformats.org/officeDocument/2006/relationships/hyperlink" Target="https://ascelibrary.org/journal/jaei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hyperlink" Target="https://www.marcialpons.es/editoriales/fc-editorial-fundacion-confemetal/4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BA00-6C43-4977-9CF6-0C7846C2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2953</Words>
  <Characters>16247</Characters>
  <Application>Microsoft Office Word</Application>
  <DocSecurity>0</DocSecurity>
  <Lines>135</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Jeniffer Paola Gracia Rojas</cp:lastModifiedBy>
  <cp:revision>2</cp:revision>
  <cp:lastPrinted>2015-05-12T18:31:00Z</cp:lastPrinted>
  <dcterms:created xsi:type="dcterms:W3CDTF">2022-03-24T00:36:00Z</dcterms:created>
  <dcterms:modified xsi:type="dcterms:W3CDTF">2022-03-24T00:36:00Z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